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wmf" ContentType="image/x-emf"/>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charts/chart1.xml" ContentType="application/vnd.openxmlformats-officedocument.drawingml.chart+xml"/>
  <Override PartName="/word/theme/themeOverride1.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71A903" w14:textId="77777777" w:rsidR="009F4151" w:rsidRDefault="0078609F" w:rsidP="002E4E09">
      <w:pPr>
        <w:rPr>
          <w:noProof/>
          <w:lang w:eastAsia="es-CR"/>
        </w:rPr>
      </w:pPr>
      <w:r>
        <w:rPr>
          <w:noProof/>
        </w:rPr>
        <w:pict w14:anchorId="3AEFE6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85pt;margin-top:.1pt;width:477.15pt;height:571.8pt;z-index:251862016;mso-position-horizontal-relative:text;mso-position-vertical-relative:text">
            <v:imagedata r:id="rId8" o:title="PORTADA Ejecutivo Análisis Financiero"/>
            <w10:wrap type="square"/>
          </v:shape>
        </w:pict>
      </w:r>
    </w:p>
    <w:p w14:paraId="1B6DCB1B" w14:textId="77777777" w:rsidR="00D215AE" w:rsidRDefault="007F5154" w:rsidP="002E4E09">
      <w:pPr>
        <w:rPr>
          <w:noProof/>
          <w:color w:val="FF0000"/>
          <w:lang w:eastAsia="es-CR"/>
        </w:rPr>
      </w:pPr>
      <w:r w:rsidRPr="007F5154">
        <w:rPr>
          <w:noProof/>
          <w:lang w:eastAsia="es-CR"/>
        </w:rPr>
        <w:lastRenderedPageBreak/>
        <w:drawing>
          <wp:anchor distT="0" distB="0" distL="114300" distR="114300" simplePos="0" relativeHeight="251859968" behindDoc="0" locked="0" layoutInCell="1" allowOverlap="1" wp14:anchorId="20776C52" wp14:editId="208351B2">
            <wp:simplePos x="0" y="0"/>
            <wp:positionH relativeFrom="column">
              <wp:posOffset>1905</wp:posOffset>
            </wp:positionH>
            <wp:positionV relativeFrom="paragraph">
              <wp:posOffset>0</wp:posOffset>
            </wp:positionV>
            <wp:extent cx="5612130" cy="3405543"/>
            <wp:effectExtent l="0" t="0" r="0" b="0"/>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3405543"/>
                    </a:xfrm>
                    <a:prstGeom prst="rect">
                      <a:avLst/>
                    </a:prstGeom>
                    <a:noFill/>
                    <a:ln>
                      <a:noFill/>
                    </a:ln>
                  </pic:spPr>
                </pic:pic>
              </a:graphicData>
            </a:graphic>
          </wp:anchor>
        </w:drawing>
      </w:r>
    </w:p>
    <w:p w14:paraId="5E159DAE" w14:textId="77777777" w:rsidR="00D215AE" w:rsidRDefault="00D215AE" w:rsidP="002E4E09"/>
    <w:p w14:paraId="7E4EF200" w14:textId="77777777" w:rsidR="00D215AE" w:rsidRDefault="00D215AE" w:rsidP="002E4E09"/>
    <w:p w14:paraId="35A6E961" w14:textId="77777777" w:rsidR="000E5937" w:rsidRDefault="000E5937" w:rsidP="002E4E09"/>
    <w:p w14:paraId="5F53FFFC" w14:textId="77777777" w:rsidR="00D215AE" w:rsidRDefault="00D215AE" w:rsidP="002E4E09"/>
    <w:p w14:paraId="349046E8" w14:textId="77777777" w:rsidR="00D215AE" w:rsidRDefault="00D215AE" w:rsidP="002E4E09"/>
    <w:p w14:paraId="1DFCFC63" w14:textId="77777777" w:rsidR="00D215AE" w:rsidRDefault="00D215AE" w:rsidP="002E4E09"/>
    <w:p w14:paraId="0D6B2E18" w14:textId="77777777" w:rsidR="00D215AE" w:rsidRDefault="00D215AE" w:rsidP="002E4E09"/>
    <w:p w14:paraId="63D4172C" w14:textId="77777777" w:rsidR="00D215AE" w:rsidRDefault="00D215AE" w:rsidP="002E4E09"/>
    <w:p w14:paraId="5A89E5A0" w14:textId="77777777" w:rsidR="00D215AE" w:rsidRDefault="00BA3B81" w:rsidP="00BA3B81">
      <w:pPr>
        <w:jc w:val="right"/>
      </w:pPr>
      <w:r>
        <w:t>1</w:t>
      </w:r>
    </w:p>
    <w:p w14:paraId="773B0184" w14:textId="77777777" w:rsidR="00D215AE" w:rsidRDefault="00D215AE" w:rsidP="002E4E09"/>
    <w:p w14:paraId="2DB60F5A" w14:textId="77777777" w:rsidR="00D215AE" w:rsidRPr="00C477D7" w:rsidRDefault="007F5154" w:rsidP="00D215AE">
      <w:pPr>
        <w:pStyle w:val="Prrafodelista1"/>
        <w:spacing w:after="0" w:line="100" w:lineRule="atLeast"/>
        <w:ind w:left="0"/>
        <w:jc w:val="center"/>
        <w:rPr>
          <w:rFonts w:ascii="Arial" w:hAnsi="Arial" w:cs="Arial"/>
          <w:b/>
          <w:bCs/>
          <w:w w:val="103"/>
        </w:rPr>
      </w:pPr>
      <w:r>
        <w:rPr>
          <w:rFonts w:ascii="Arial" w:hAnsi="Arial" w:cs="Arial"/>
          <w:b/>
          <w:bCs/>
          <w:w w:val="103"/>
        </w:rPr>
        <w:t>Información general</w:t>
      </w:r>
    </w:p>
    <w:p w14:paraId="3C77C6D6" w14:textId="77777777" w:rsidR="00FC4970" w:rsidRDefault="00FC4970" w:rsidP="00D215AE">
      <w:pPr>
        <w:pStyle w:val="Standard"/>
        <w:tabs>
          <w:tab w:val="left" w:pos="8910"/>
        </w:tabs>
        <w:spacing w:before="240" w:after="120"/>
        <w:jc w:val="both"/>
        <w:rPr>
          <w:rFonts w:ascii="Arial" w:hAnsi="Arial" w:cs="Arial"/>
          <w:sz w:val="22"/>
          <w:szCs w:val="22"/>
        </w:rPr>
      </w:pPr>
    </w:p>
    <w:p w14:paraId="5A13E319" w14:textId="77777777" w:rsidR="00D215AE" w:rsidRPr="00C477D7" w:rsidRDefault="00D215AE" w:rsidP="00D215AE">
      <w:pPr>
        <w:pStyle w:val="Standard"/>
        <w:tabs>
          <w:tab w:val="left" w:pos="8910"/>
        </w:tabs>
        <w:spacing w:before="240" w:after="120"/>
        <w:jc w:val="both"/>
        <w:rPr>
          <w:rFonts w:ascii="Arial" w:hAnsi="Arial" w:cs="Arial"/>
          <w:sz w:val="22"/>
          <w:szCs w:val="22"/>
        </w:rPr>
      </w:pPr>
      <w:r w:rsidRPr="00C477D7">
        <w:rPr>
          <w:rFonts w:ascii="Arial" w:hAnsi="Arial" w:cs="Arial"/>
          <w:sz w:val="22"/>
          <w:szCs w:val="22"/>
        </w:rPr>
        <w:t>Antes de iniciar con el análisis correspondiente a este período, es necesario exponer algunas consideraciones que intervienen e</w:t>
      </w:r>
      <w:r w:rsidR="00C477D7">
        <w:rPr>
          <w:rFonts w:ascii="Arial" w:hAnsi="Arial" w:cs="Arial"/>
          <w:sz w:val="22"/>
          <w:szCs w:val="22"/>
        </w:rPr>
        <w:t>n los re</w:t>
      </w:r>
      <w:r w:rsidR="00D14F82">
        <w:rPr>
          <w:rFonts w:ascii="Arial" w:hAnsi="Arial" w:cs="Arial"/>
          <w:sz w:val="22"/>
          <w:szCs w:val="22"/>
        </w:rPr>
        <w:t>sultados mostrados al 31 de dic</w:t>
      </w:r>
      <w:r w:rsidR="0084586B">
        <w:rPr>
          <w:rFonts w:ascii="Arial" w:hAnsi="Arial" w:cs="Arial"/>
          <w:sz w:val="22"/>
          <w:szCs w:val="22"/>
        </w:rPr>
        <w:t>iembre</w:t>
      </w:r>
      <w:r w:rsidRPr="00C477D7">
        <w:rPr>
          <w:rFonts w:ascii="Arial" w:hAnsi="Arial" w:cs="Arial"/>
          <w:sz w:val="22"/>
          <w:szCs w:val="22"/>
        </w:rPr>
        <w:t xml:space="preserve"> del 2017-2018 y que deben ser tomadas en cuenta para comparar estos dos períodos:</w:t>
      </w:r>
    </w:p>
    <w:p w14:paraId="47FC0A60" w14:textId="77777777" w:rsidR="00D215AE" w:rsidRPr="00C477D7" w:rsidRDefault="00D215AE" w:rsidP="00D215AE">
      <w:pPr>
        <w:pStyle w:val="Standard"/>
        <w:widowControl w:val="0"/>
        <w:numPr>
          <w:ilvl w:val="0"/>
          <w:numId w:val="36"/>
        </w:numPr>
        <w:tabs>
          <w:tab w:val="left" w:pos="2430"/>
        </w:tabs>
        <w:overflowPunct/>
        <w:autoSpaceDE/>
        <w:spacing w:before="240" w:after="120" w:line="276" w:lineRule="auto"/>
        <w:jc w:val="both"/>
        <w:rPr>
          <w:rFonts w:ascii="Arial" w:hAnsi="Arial" w:cs="Arial"/>
          <w:sz w:val="22"/>
          <w:szCs w:val="22"/>
        </w:rPr>
      </w:pPr>
      <w:r w:rsidRPr="00C477D7">
        <w:rPr>
          <w:rFonts w:ascii="Arial" w:hAnsi="Arial" w:cs="Arial"/>
          <w:sz w:val="22"/>
          <w:szCs w:val="22"/>
        </w:rPr>
        <w:t>Los Estados Financieros del AyA son elaborados y presentados sobre la base contable de acumulación o devengo, conforme lo establecen las NIIF.</w:t>
      </w:r>
    </w:p>
    <w:p w14:paraId="2B26EBFA" w14:textId="77777777" w:rsidR="007E654A" w:rsidRDefault="00D215AE" w:rsidP="007E654A">
      <w:pPr>
        <w:pStyle w:val="Standard"/>
        <w:widowControl w:val="0"/>
        <w:numPr>
          <w:ilvl w:val="0"/>
          <w:numId w:val="7"/>
        </w:numPr>
        <w:tabs>
          <w:tab w:val="left" w:pos="2430"/>
        </w:tabs>
        <w:overflowPunct/>
        <w:autoSpaceDE/>
        <w:spacing w:before="240" w:after="120" w:line="276" w:lineRule="auto"/>
        <w:jc w:val="both"/>
        <w:rPr>
          <w:rFonts w:ascii="Arial" w:hAnsi="Arial" w:cs="Arial"/>
          <w:sz w:val="22"/>
          <w:szCs w:val="22"/>
        </w:rPr>
      </w:pPr>
      <w:r w:rsidRPr="00C477D7">
        <w:rPr>
          <w:rFonts w:ascii="Arial" w:hAnsi="Arial" w:cs="Arial"/>
          <w:sz w:val="22"/>
          <w:szCs w:val="22"/>
        </w:rPr>
        <w:t>La promulgación de la Ley Nº 8641 “Declaratoria del Servicio de Hidrantes como servicio Público y Reformas de Leyes Conexas” publicada en el Diario Oficial La Gaceta Nº 121 del 24 de junio del 2008, donde se hace responsable al AyA del control, operación y mantenimiento de los servicios de hidrantes.</w:t>
      </w:r>
    </w:p>
    <w:p w14:paraId="0F37AD44" w14:textId="77777777" w:rsidR="008C5658" w:rsidRDefault="008C5658" w:rsidP="008C5658">
      <w:pPr>
        <w:pStyle w:val="Standard"/>
        <w:widowControl w:val="0"/>
        <w:numPr>
          <w:ilvl w:val="0"/>
          <w:numId w:val="7"/>
        </w:numPr>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Conforme a la NIC 21 “Efectos de las variaciones en las tasas de cambio de la Moneda Extrajera”, la moneda funcional es el Colón, por ser esta la moneda principal del entorno económico en que opera AyA, las demás monedas se consideran monedas extranjeras. Las transacciones realizadas en moneda extranjera se registran con el tipo de cambio del día de la transacción con que se llevó a cabo dicho movimiento.</w:t>
      </w:r>
    </w:p>
    <w:p w14:paraId="65FEBC34" w14:textId="77777777" w:rsidR="008C5658" w:rsidRDefault="008C5658" w:rsidP="008C5658">
      <w:pPr>
        <w:pStyle w:val="Standard"/>
        <w:widowControl w:val="0"/>
        <w:tabs>
          <w:tab w:val="left" w:pos="2430"/>
        </w:tabs>
        <w:overflowPunct/>
        <w:autoSpaceDE/>
        <w:spacing w:before="240" w:after="120" w:line="276" w:lineRule="auto"/>
        <w:ind w:left="720"/>
        <w:jc w:val="both"/>
        <w:rPr>
          <w:rFonts w:ascii="Arial" w:hAnsi="Arial" w:cs="Arial"/>
          <w:sz w:val="22"/>
          <w:szCs w:val="22"/>
        </w:rPr>
      </w:pPr>
      <w:r>
        <w:rPr>
          <w:rFonts w:ascii="Arial" w:hAnsi="Arial" w:cs="Arial"/>
          <w:sz w:val="22"/>
          <w:szCs w:val="22"/>
        </w:rPr>
        <w:t>Los saldos de las cuentas de activos y pasivos monetarias se valúan y ajustan al tipo de cambio de venta, para lo cual hasta diciembre 2014 se utilizó el tipo de cambio de referencia emitido por el Banco Central; a partir de enero 2015 se utiliza el tipo de cambio de venta que emite el Banco central de Costa Rica para las operaciones con el Sector Público no bancario, conforme se semana en el artículo 4 de la directriz CN-006-2013 publicada por la Dirección de Contabilidad Nacional, aplicando el tipo de cambio vigente a la fecha de cierre de los estados financieros.</w:t>
      </w:r>
    </w:p>
    <w:p w14:paraId="78870110" w14:textId="77777777" w:rsidR="008C5658" w:rsidRDefault="008C5658" w:rsidP="008C5658">
      <w:pPr>
        <w:pStyle w:val="Standard"/>
        <w:widowControl w:val="0"/>
        <w:tabs>
          <w:tab w:val="left" w:pos="2430"/>
        </w:tabs>
        <w:overflowPunct/>
        <w:autoSpaceDE/>
        <w:spacing w:before="240" w:after="120" w:line="276" w:lineRule="auto"/>
        <w:ind w:left="720"/>
        <w:jc w:val="both"/>
        <w:rPr>
          <w:rFonts w:ascii="Arial" w:hAnsi="Arial" w:cs="Arial"/>
          <w:sz w:val="22"/>
          <w:szCs w:val="22"/>
        </w:rPr>
      </w:pPr>
      <w:r>
        <w:rPr>
          <w:rFonts w:ascii="Arial" w:hAnsi="Arial" w:cs="Arial"/>
          <w:sz w:val="22"/>
          <w:szCs w:val="22"/>
        </w:rPr>
        <w:t>La paridad del colón con respecto al dólar estadounidense y otras monedas se determina en un mercado cambiario libre, bajo la supervisión del Banco Central de Costa Rica (BCCR), al 31 de diciembre del 2018.</w:t>
      </w:r>
    </w:p>
    <w:p w14:paraId="6E40AB69" w14:textId="77777777" w:rsidR="00FC4970" w:rsidRDefault="00FC4970" w:rsidP="008C5658">
      <w:pPr>
        <w:pStyle w:val="Standard"/>
        <w:widowControl w:val="0"/>
        <w:tabs>
          <w:tab w:val="left" w:pos="2430"/>
        </w:tabs>
        <w:overflowPunct/>
        <w:autoSpaceDE/>
        <w:spacing w:before="240" w:after="120" w:line="276" w:lineRule="auto"/>
        <w:ind w:left="720"/>
        <w:jc w:val="both"/>
        <w:rPr>
          <w:rFonts w:ascii="Arial" w:hAnsi="Arial" w:cs="Arial"/>
          <w:sz w:val="22"/>
          <w:szCs w:val="22"/>
        </w:rPr>
      </w:pPr>
    </w:p>
    <w:p w14:paraId="41FCCADD" w14:textId="77777777" w:rsidR="00FC4970" w:rsidRDefault="00FC4970" w:rsidP="008C5658">
      <w:pPr>
        <w:pStyle w:val="Standard"/>
        <w:widowControl w:val="0"/>
        <w:tabs>
          <w:tab w:val="left" w:pos="2430"/>
        </w:tabs>
        <w:overflowPunct/>
        <w:autoSpaceDE/>
        <w:spacing w:before="240" w:after="120" w:line="276" w:lineRule="auto"/>
        <w:ind w:left="720"/>
        <w:jc w:val="both"/>
        <w:rPr>
          <w:rFonts w:ascii="Arial" w:hAnsi="Arial" w:cs="Arial"/>
          <w:sz w:val="22"/>
          <w:szCs w:val="22"/>
        </w:rPr>
      </w:pPr>
    </w:p>
    <w:p w14:paraId="19FF5388" w14:textId="77777777" w:rsidR="00FC4970" w:rsidRDefault="009150DC" w:rsidP="009150DC">
      <w:pPr>
        <w:pStyle w:val="Standard"/>
        <w:widowControl w:val="0"/>
        <w:tabs>
          <w:tab w:val="left" w:pos="2430"/>
        </w:tabs>
        <w:overflowPunct/>
        <w:autoSpaceDE/>
        <w:spacing w:before="240" w:after="120" w:line="276" w:lineRule="auto"/>
        <w:ind w:left="720"/>
        <w:jc w:val="right"/>
        <w:rPr>
          <w:rFonts w:ascii="Arial" w:hAnsi="Arial" w:cs="Arial"/>
          <w:sz w:val="22"/>
          <w:szCs w:val="22"/>
        </w:rPr>
      </w:pPr>
      <w:r>
        <w:rPr>
          <w:rFonts w:ascii="Arial" w:hAnsi="Arial" w:cs="Arial"/>
          <w:sz w:val="22"/>
          <w:szCs w:val="22"/>
        </w:rPr>
        <w:t>2</w:t>
      </w:r>
    </w:p>
    <w:p w14:paraId="73345AAD" w14:textId="77777777" w:rsidR="008C5658" w:rsidRDefault="008C5658" w:rsidP="00FC4970">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lastRenderedPageBreak/>
        <w:t>Tipos de cambio moneda extranjera con respecto al col</w:t>
      </w:r>
      <w:r w:rsidR="00FC4970">
        <w:rPr>
          <w:rFonts w:ascii="Arial" w:hAnsi="Arial" w:cs="Arial"/>
          <w:sz w:val="22"/>
          <w:szCs w:val="22"/>
        </w:rPr>
        <w:t>ón:</w:t>
      </w:r>
    </w:p>
    <w:tbl>
      <w:tblPr>
        <w:tblStyle w:val="Tablaconcuadrcula"/>
        <w:tblW w:w="0" w:type="auto"/>
        <w:tblInd w:w="720" w:type="dxa"/>
        <w:tblLook w:val="04A0" w:firstRow="1" w:lastRow="0" w:firstColumn="1" w:lastColumn="0" w:noHBand="0" w:noVBand="1"/>
      </w:tblPr>
      <w:tblGrid>
        <w:gridCol w:w="3670"/>
        <w:gridCol w:w="1723"/>
        <w:gridCol w:w="2715"/>
      </w:tblGrid>
      <w:tr w:rsidR="00FC4970" w14:paraId="61D14EC0" w14:textId="77777777" w:rsidTr="00FC4970">
        <w:tc>
          <w:tcPr>
            <w:tcW w:w="3670" w:type="dxa"/>
          </w:tcPr>
          <w:p w14:paraId="3A87899F" w14:textId="77777777" w:rsidR="008C5658" w:rsidRPr="00FC4970" w:rsidRDefault="00FC4970" w:rsidP="00FC4970">
            <w:pPr>
              <w:pStyle w:val="Standard"/>
              <w:widowControl w:val="0"/>
              <w:tabs>
                <w:tab w:val="left" w:pos="2430"/>
              </w:tabs>
              <w:overflowPunct/>
              <w:autoSpaceDE/>
              <w:spacing w:before="240" w:after="120" w:line="276" w:lineRule="auto"/>
              <w:jc w:val="center"/>
              <w:rPr>
                <w:rFonts w:ascii="Arial" w:hAnsi="Arial" w:cs="Arial"/>
                <w:b/>
                <w:sz w:val="22"/>
                <w:szCs w:val="22"/>
              </w:rPr>
            </w:pPr>
            <w:r w:rsidRPr="00FC4970">
              <w:rPr>
                <w:rFonts w:ascii="Arial" w:hAnsi="Arial" w:cs="Arial"/>
                <w:b/>
                <w:sz w:val="22"/>
                <w:szCs w:val="22"/>
              </w:rPr>
              <w:t>Tipo de cambio BCR</w:t>
            </w:r>
          </w:p>
        </w:tc>
        <w:tc>
          <w:tcPr>
            <w:tcW w:w="1723" w:type="dxa"/>
          </w:tcPr>
          <w:p w14:paraId="7CB76C74" w14:textId="77777777" w:rsidR="008C5658" w:rsidRPr="00FC4970" w:rsidRDefault="00FC4970" w:rsidP="00FC4970">
            <w:pPr>
              <w:pStyle w:val="Standard"/>
              <w:widowControl w:val="0"/>
              <w:tabs>
                <w:tab w:val="left" w:pos="2430"/>
              </w:tabs>
              <w:overflowPunct/>
              <w:autoSpaceDE/>
              <w:spacing w:before="240" w:after="120" w:line="276" w:lineRule="auto"/>
              <w:jc w:val="center"/>
              <w:rPr>
                <w:rFonts w:ascii="Arial" w:hAnsi="Arial" w:cs="Arial"/>
                <w:b/>
                <w:sz w:val="22"/>
                <w:szCs w:val="22"/>
              </w:rPr>
            </w:pPr>
            <w:r w:rsidRPr="00FC4970">
              <w:rPr>
                <w:rFonts w:ascii="Arial" w:hAnsi="Arial" w:cs="Arial"/>
                <w:b/>
                <w:sz w:val="22"/>
                <w:szCs w:val="22"/>
              </w:rPr>
              <w:t>31/12/2018</w:t>
            </w:r>
          </w:p>
        </w:tc>
        <w:tc>
          <w:tcPr>
            <w:tcW w:w="2715" w:type="dxa"/>
          </w:tcPr>
          <w:p w14:paraId="23C89A39" w14:textId="77777777" w:rsidR="008C5658" w:rsidRPr="00FC4970" w:rsidRDefault="00FC4970" w:rsidP="00FC4970">
            <w:pPr>
              <w:pStyle w:val="Standard"/>
              <w:widowControl w:val="0"/>
              <w:tabs>
                <w:tab w:val="left" w:pos="2430"/>
              </w:tabs>
              <w:overflowPunct/>
              <w:autoSpaceDE/>
              <w:spacing w:before="240" w:after="120" w:line="276" w:lineRule="auto"/>
              <w:jc w:val="center"/>
              <w:rPr>
                <w:rFonts w:ascii="Arial" w:hAnsi="Arial" w:cs="Arial"/>
                <w:b/>
                <w:sz w:val="22"/>
                <w:szCs w:val="22"/>
              </w:rPr>
            </w:pPr>
            <w:r w:rsidRPr="00FC4970">
              <w:rPr>
                <w:rFonts w:ascii="Arial" w:hAnsi="Arial" w:cs="Arial"/>
                <w:b/>
                <w:sz w:val="22"/>
                <w:szCs w:val="22"/>
              </w:rPr>
              <w:t>31/12/2017</w:t>
            </w:r>
          </w:p>
        </w:tc>
      </w:tr>
      <w:tr w:rsidR="00FC4970" w14:paraId="3C36CC9F" w14:textId="77777777" w:rsidTr="00FC4970">
        <w:tc>
          <w:tcPr>
            <w:tcW w:w="3670" w:type="dxa"/>
          </w:tcPr>
          <w:p w14:paraId="35C717FB" w14:textId="77777777" w:rsidR="008C5658" w:rsidRDefault="00FC4970" w:rsidP="008C5658">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 xml:space="preserve">1 dólar con respecto al colón </w:t>
            </w:r>
          </w:p>
        </w:tc>
        <w:tc>
          <w:tcPr>
            <w:tcW w:w="1723" w:type="dxa"/>
          </w:tcPr>
          <w:p w14:paraId="31EFD82B" w14:textId="77777777" w:rsidR="008C5658" w:rsidRDefault="00FC4970" w:rsidP="00FC497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609.87138</w:t>
            </w:r>
          </w:p>
        </w:tc>
        <w:tc>
          <w:tcPr>
            <w:tcW w:w="2715" w:type="dxa"/>
          </w:tcPr>
          <w:p w14:paraId="5944B73F" w14:textId="77777777" w:rsidR="008C5658" w:rsidRDefault="00FC4970" w:rsidP="00FC497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570.49000</w:t>
            </w:r>
          </w:p>
        </w:tc>
      </w:tr>
      <w:tr w:rsidR="00FC4970" w14:paraId="38A6F77F" w14:textId="77777777" w:rsidTr="00FC4970">
        <w:tc>
          <w:tcPr>
            <w:tcW w:w="3670" w:type="dxa"/>
          </w:tcPr>
          <w:p w14:paraId="1D54B659" w14:textId="77777777" w:rsidR="008C5658" w:rsidRDefault="00FC4970" w:rsidP="008C5658">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1 euro con respecto al colón</w:t>
            </w:r>
          </w:p>
        </w:tc>
        <w:tc>
          <w:tcPr>
            <w:tcW w:w="1723" w:type="dxa"/>
          </w:tcPr>
          <w:p w14:paraId="55E42BDA" w14:textId="77777777" w:rsidR="008C5658" w:rsidRDefault="00FC4970" w:rsidP="00FC497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697.99779</w:t>
            </w:r>
          </w:p>
        </w:tc>
        <w:tc>
          <w:tcPr>
            <w:tcW w:w="2715" w:type="dxa"/>
          </w:tcPr>
          <w:p w14:paraId="2D733AE4" w14:textId="77777777" w:rsidR="008C5658" w:rsidRDefault="00FC4970" w:rsidP="00FC497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696.28269</w:t>
            </w:r>
          </w:p>
        </w:tc>
      </w:tr>
      <w:tr w:rsidR="00FC4970" w14:paraId="086183AD" w14:textId="77777777" w:rsidTr="00FC4970">
        <w:tc>
          <w:tcPr>
            <w:tcW w:w="3670" w:type="dxa"/>
          </w:tcPr>
          <w:p w14:paraId="7871A597" w14:textId="77777777" w:rsidR="00FC4970" w:rsidRDefault="00FC4970" w:rsidP="008C5658">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1 yen con respecto al colón</w:t>
            </w:r>
          </w:p>
        </w:tc>
        <w:tc>
          <w:tcPr>
            <w:tcW w:w="1723" w:type="dxa"/>
          </w:tcPr>
          <w:p w14:paraId="3AEA859F" w14:textId="77777777" w:rsidR="00FC4970" w:rsidRDefault="00FC4970" w:rsidP="00FC497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5.54373</w:t>
            </w:r>
          </w:p>
        </w:tc>
        <w:tc>
          <w:tcPr>
            <w:tcW w:w="2715" w:type="dxa"/>
          </w:tcPr>
          <w:p w14:paraId="5214F0AA" w14:textId="77777777" w:rsidR="00FC4970" w:rsidRDefault="00FC4970" w:rsidP="00FC497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5.06024</w:t>
            </w:r>
          </w:p>
        </w:tc>
      </w:tr>
    </w:tbl>
    <w:p w14:paraId="20053620" w14:textId="77777777" w:rsidR="00FC4970" w:rsidRDefault="00FC4970" w:rsidP="00FC4970">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Tipos de cambio moneda extranjera con respecto al dólar:</w:t>
      </w:r>
    </w:p>
    <w:tbl>
      <w:tblPr>
        <w:tblStyle w:val="Tablaconcuadrcula"/>
        <w:tblW w:w="0" w:type="auto"/>
        <w:tblInd w:w="720" w:type="dxa"/>
        <w:tblLook w:val="04A0" w:firstRow="1" w:lastRow="0" w:firstColumn="1" w:lastColumn="0" w:noHBand="0" w:noVBand="1"/>
      </w:tblPr>
      <w:tblGrid>
        <w:gridCol w:w="3670"/>
        <w:gridCol w:w="1723"/>
        <w:gridCol w:w="2715"/>
      </w:tblGrid>
      <w:tr w:rsidR="00FC4970" w14:paraId="4FAB7F8F" w14:textId="77777777" w:rsidTr="00451620">
        <w:tc>
          <w:tcPr>
            <w:tcW w:w="3670" w:type="dxa"/>
          </w:tcPr>
          <w:p w14:paraId="02FA3EE6" w14:textId="77777777" w:rsidR="00FC4970" w:rsidRPr="00FC4970" w:rsidRDefault="00FC4970" w:rsidP="00451620">
            <w:pPr>
              <w:pStyle w:val="Standard"/>
              <w:widowControl w:val="0"/>
              <w:tabs>
                <w:tab w:val="left" w:pos="2430"/>
              </w:tabs>
              <w:overflowPunct/>
              <w:autoSpaceDE/>
              <w:spacing w:before="240" w:after="120" w:line="276" w:lineRule="auto"/>
              <w:jc w:val="center"/>
              <w:rPr>
                <w:rFonts w:ascii="Arial" w:hAnsi="Arial" w:cs="Arial"/>
                <w:b/>
                <w:sz w:val="22"/>
                <w:szCs w:val="22"/>
              </w:rPr>
            </w:pPr>
            <w:r w:rsidRPr="00FC4970">
              <w:rPr>
                <w:rFonts w:ascii="Arial" w:hAnsi="Arial" w:cs="Arial"/>
                <w:b/>
                <w:sz w:val="22"/>
                <w:szCs w:val="22"/>
              </w:rPr>
              <w:t>Tipo de cambio BCR</w:t>
            </w:r>
          </w:p>
        </w:tc>
        <w:tc>
          <w:tcPr>
            <w:tcW w:w="1723" w:type="dxa"/>
          </w:tcPr>
          <w:p w14:paraId="554BA5CA" w14:textId="77777777" w:rsidR="00FC4970" w:rsidRPr="00FC4970" w:rsidRDefault="00FC4970" w:rsidP="00451620">
            <w:pPr>
              <w:pStyle w:val="Standard"/>
              <w:widowControl w:val="0"/>
              <w:tabs>
                <w:tab w:val="left" w:pos="2430"/>
              </w:tabs>
              <w:overflowPunct/>
              <w:autoSpaceDE/>
              <w:spacing w:before="240" w:after="120" w:line="276" w:lineRule="auto"/>
              <w:jc w:val="center"/>
              <w:rPr>
                <w:rFonts w:ascii="Arial" w:hAnsi="Arial" w:cs="Arial"/>
                <w:b/>
                <w:sz w:val="22"/>
                <w:szCs w:val="22"/>
              </w:rPr>
            </w:pPr>
            <w:r w:rsidRPr="00FC4970">
              <w:rPr>
                <w:rFonts w:ascii="Arial" w:hAnsi="Arial" w:cs="Arial"/>
                <w:b/>
                <w:sz w:val="22"/>
                <w:szCs w:val="22"/>
              </w:rPr>
              <w:t>31/12/2018</w:t>
            </w:r>
          </w:p>
        </w:tc>
        <w:tc>
          <w:tcPr>
            <w:tcW w:w="2715" w:type="dxa"/>
          </w:tcPr>
          <w:p w14:paraId="522424FB" w14:textId="77777777" w:rsidR="00FC4970" w:rsidRPr="00FC4970" w:rsidRDefault="00FC4970" w:rsidP="00451620">
            <w:pPr>
              <w:pStyle w:val="Standard"/>
              <w:widowControl w:val="0"/>
              <w:tabs>
                <w:tab w:val="left" w:pos="2430"/>
              </w:tabs>
              <w:overflowPunct/>
              <w:autoSpaceDE/>
              <w:spacing w:before="240" w:after="120" w:line="276" w:lineRule="auto"/>
              <w:jc w:val="center"/>
              <w:rPr>
                <w:rFonts w:ascii="Arial" w:hAnsi="Arial" w:cs="Arial"/>
                <w:b/>
                <w:sz w:val="22"/>
                <w:szCs w:val="22"/>
              </w:rPr>
            </w:pPr>
            <w:r w:rsidRPr="00FC4970">
              <w:rPr>
                <w:rFonts w:ascii="Arial" w:hAnsi="Arial" w:cs="Arial"/>
                <w:b/>
                <w:sz w:val="22"/>
                <w:szCs w:val="22"/>
              </w:rPr>
              <w:t>31/12/2017</w:t>
            </w:r>
          </w:p>
        </w:tc>
      </w:tr>
      <w:tr w:rsidR="00FC4970" w14:paraId="2DEF8CC1" w14:textId="77777777" w:rsidTr="00451620">
        <w:tc>
          <w:tcPr>
            <w:tcW w:w="3670" w:type="dxa"/>
          </w:tcPr>
          <w:p w14:paraId="01496AA4" w14:textId="77777777" w:rsidR="00FC4970" w:rsidRDefault="00FC4970" w:rsidP="00451620">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1 euro con respecto al dólar</w:t>
            </w:r>
          </w:p>
        </w:tc>
        <w:tc>
          <w:tcPr>
            <w:tcW w:w="1723" w:type="dxa"/>
          </w:tcPr>
          <w:p w14:paraId="788CD94F" w14:textId="77777777" w:rsidR="00FC4970" w:rsidRDefault="00FC4970" w:rsidP="0045162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1.14450</w:t>
            </w:r>
          </w:p>
        </w:tc>
        <w:tc>
          <w:tcPr>
            <w:tcW w:w="2715" w:type="dxa"/>
          </w:tcPr>
          <w:p w14:paraId="4E79B3B2" w14:textId="77777777" w:rsidR="00FC4970" w:rsidRDefault="00FC4970" w:rsidP="0045162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1.20050</w:t>
            </w:r>
          </w:p>
        </w:tc>
      </w:tr>
      <w:tr w:rsidR="00FC4970" w14:paraId="492D5253" w14:textId="77777777" w:rsidTr="00451620">
        <w:tc>
          <w:tcPr>
            <w:tcW w:w="3670" w:type="dxa"/>
          </w:tcPr>
          <w:p w14:paraId="59F7A0D4" w14:textId="77777777" w:rsidR="00FC4970" w:rsidRDefault="00FC4970" w:rsidP="00451620">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1 dólar con respecto al yen</w:t>
            </w:r>
          </w:p>
        </w:tc>
        <w:tc>
          <w:tcPr>
            <w:tcW w:w="1723" w:type="dxa"/>
          </w:tcPr>
          <w:p w14:paraId="0BE1C141" w14:textId="77777777" w:rsidR="00FC4970" w:rsidRDefault="00FC4970" w:rsidP="0045162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110.03000</w:t>
            </w:r>
          </w:p>
        </w:tc>
        <w:tc>
          <w:tcPr>
            <w:tcW w:w="2715" w:type="dxa"/>
          </w:tcPr>
          <w:p w14:paraId="6EBFA517" w14:textId="77777777" w:rsidR="00FC4970" w:rsidRDefault="00FC4970" w:rsidP="00451620">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112.69000</w:t>
            </w:r>
          </w:p>
        </w:tc>
      </w:tr>
    </w:tbl>
    <w:p w14:paraId="6ABC1470" w14:textId="77777777" w:rsidR="00FC4970" w:rsidRPr="008C5658" w:rsidRDefault="00FC4970" w:rsidP="004F700E">
      <w:pPr>
        <w:pStyle w:val="Standard"/>
        <w:widowControl w:val="0"/>
        <w:tabs>
          <w:tab w:val="left" w:pos="2430"/>
        </w:tabs>
        <w:overflowPunct/>
        <w:autoSpaceDE/>
        <w:spacing w:before="240" w:after="120" w:line="276" w:lineRule="auto"/>
        <w:jc w:val="both"/>
        <w:rPr>
          <w:rFonts w:ascii="Arial" w:hAnsi="Arial" w:cs="Arial"/>
          <w:sz w:val="22"/>
          <w:szCs w:val="22"/>
        </w:rPr>
      </w:pPr>
    </w:p>
    <w:p w14:paraId="4C69082B" w14:textId="77777777" w:rsidR="00D215AE" w:rsidRPr="0084586B" w:rsidRDefault="00D215AE" w:rsidP="0084586B">
      <w:pPr>
        <w:pStyle w:val="Standard"/>
        <w:widowControl w:val="0"/>
        <w:tabs>
          <w:tab w:val="left" w:pos="2430"/>
        </w:tabs>
        <w:overflowPunct/>
        <w:autoSpaceDE/>
        <w:spacing w:before="240" w:after="120" w:line="276" w:lineRule="auto"/>
        <w:ind w:left="720"/>
        <w:jc w:val="both"/>
        <w:rPr>
          <w:rFonts w:ascii="Arial" w:hAnsi="Arial" w:cs="Arial"/>
          <w:sz w:val="22"/>
          <w:szCs w:val="22"/>
        </w:rPr>
      </w:pPr>
      <w:r w:rsidRPr="0084586B">
        <w:rPr>
          <w:rFonts w:ascii="Arial" w:hAnsi="Arial" w:cs="Arial"/>
          <w:sz w:val="22"/>
          <w:szCs w:val="22"/>
        </w:rPr>
        <w:t>Efectos que impactan en la Depreciación:</w:t>
      </w:r>
    </w:p>
    <w:p w14:paraId="746B40A5" w14:textId="77777777" w:rsidR="00D215AE" w:rsidRDefault="00D215AE" w:rsidP="00D215AE">
      <w:pPr>
        <w:pStyle w:val="NormalWeb"/>
        <w:widowControl w:val="0"/>
        <w:numPr>
          <w:ilvl w:val="0"/>
          <w:numId w:val="37"/>
        </w:numPr>
        <w:overflowPunct/>
        <w:autoSpaceDE/>
        <w:spacing w:before="100" w:after="119" w:line="100" w:lineRule="atLeast"/>
        <w:rPr>
          <w:rFonts w:ascii="Arial" w:hAnsi="Arial" w:cs="Arial"/>
          <w:sz w:val="22"/>
          <w:szCs w:val="22"/>
        </w:rPr>
      </w:pPr>
      <w:r w:rsidRPr="00C477D7">
        <w:rPr>
          <w:rFonts w:ascii="Arial" w:hAnsi="Arial" w:cs="Arial"/>
          <w:sz w:val="22"/>
          <w:szCs w:val="22"/>
        </w:rPr>
        <w:t>La Dirección de Contabilidad realiza ajuste contable para incorporar a libros el inventario de las tuberías de alcantarillado sanitario al valor razonable que determina el avalúo realizado por la Dirección de Recolección y Tratamiento de la GAM (oficio DryT-2016-00273 del 30/08/2016) y valorado por la UEN de Programación y Control (oficio N° UEN-PC-2016-01710 del 31/08/2016), esto con el objeto de mostrar en los Estados Financieros de AyA información fiel y exacta en lo correspondiente a esta clase de activos.</w:t>
      </w:r>
    </w:p>
    <w:p w14:paraId="519BF0C7" w14:textId="77777777" w:rsidR="0084586B" w:rsidRPr="00C477D7" w:rsidRDefault="0084586B" w:rsidP="0084586B">
      <w:pPr>
        <w:pStyle w:val="NormalWeb"/>
        <w:widowControl w:val="0"/>
        <w:overflowPunct/>
        <w:autoSpaceDE/>
        <w:spacing w:before="100" w:after="119" w:line="100" w:lineRule="atLeast"/>
        <w:rPr>
          <w:rFonts w:ascii="Arial" w:hAnsi="Arial" w:cs="Arial"/>
          <w:sz w:val="22"/>
          <w:szCs w:val="22"/>
        </w:rPr>
      </w:pPr>
    </w:p>
    <w:p w14:paraId="6670DF6D" w14:textId="77777777" w:rsidR="00D215AE" w:rsidRPr="00C477D7" w:rsidRDefault="00D215AE" w:rsidP="00D215AE">
      <w:pPr>
        <w:pStyle w:val="NormalWeb"/>
        <w:widowControl w:val="0"/>
        <w:numPr>
          <w:ilvl w:val="0"/>
          <w:numId w:val="6"/>
        </w:numPr>
        <w:overflowPunct/>
        <w:autoSpaceDE/>
        <w:spacing w:before="100" w:after="119" w:line="100" w:lineRule="atLeast"/>
        <w:rPr>
          <w:rFonts w:ascii="Arial" w:hAnsi="Arial" w:cs="Arial"/>
          <w:sz w:val="22"/>
          <w:szCs w:val="22"/>
        </w:rPr>
      </w:pPr>
      <w:r w:rsidRPr="00C477D7">
        <w:rPr>
          <w:rFonts w:ascii="Arial" w:hAnsi="Arial" w:cs="Arial"/>
          <w:sz w:val="22"/>
          <w:szCs w:val="22"/>
        </w:rPr>
        <w:t>El ajuste consiste en sustituir los activos de la clase de tuberías de alcantarillado sanitario que no se logró conciliar durante el inventario nacional de activos, por los activos determinados en el inventario realizado por la Dirección de Recolección y Tratamiento de la GAM y valorado por la UEN de Programación y Control, lo cual implica dar de baja a todos los activos de la clase de tuberías de alcantarillado sanitario no conciliados y dar de alta a todos los activos de esta misma clase determinados en el inventario elaborado por las unidades mencionadas supra.</w:t>
      </w:r>
    </w:p>
    <w:p w14:paraId="13385056" w14:textId="77777777" w:rsidR="009150DC" w:rsidRDefault="009150DC" w:rsidP="00D215AE">
      <w:pPr>
        <w:pStyle w:val="NormalWeb"/>
        <w:tabs>
          <w:tab w:val="left" w:pos="8910"/>
        </w:tabs>
        <w:spacing w:before="240" w:after="120"/>
        <w:rPr>
          <w:rFonts w:ascii="Arial" w:hAnsi="Arial" w:cs="Arial"/>
          <w:sz w:val="22"/>
          <w:szCs w:val="22"/>
        </w:rPr>
      </w:pPr>
    </w:p>
    <w:p w14:paraId="726EB0C1" w14:textId="77777777" w:rsidR="009150DC" w:rsidRDefault="00DA6685" w:rsidP="00DA6685">
      <w:pPr>
        <w:pStyle w:val="NormalWeb"/>
        <w:tabs>
          <w:tab w:val="left" w:pos="8910"/>
        </w:tabs>
        <w:spacing w:before="240" w:after="120"/>
        <w:jc w:val="right"/>
        <w:rPr>
          <w:rFonts w:ascii="Arial" w:hAnsi="Arial" w:cs="Arial"/>
          <w:sz w:val="22"/>
          <w:szCs w:val="22"/>
        </w:rPr>
      </w:pPr>
      <w:r>
        <w:rPr>
          <w:rFonts w:ascii="Arial" w:hAnsi="Arial" w:cs="Arial"/>
          <w:sz w:val="22"/>
          <w:szCs w:val="22"/>
        </w:rPr>
        <w:t>3</w:t>
      </w:r>
    </w:p>
    <w:p w14:paraId="1B7FE130" w14:textId="77777777" w:rsidR="00D215AE" w:rsidRPr="00C477D7" w:rsidRDefault="00D215AE" w:rsidP="00D215AE">
      <w:pPr>
        <w:pStyle w:val="NormalWeb"/>
        <w:tabs>
          <w:tab w:val="left" w:pos="8910"/>
        </w:tabs>
        <w:spacing w:before="240" w:after="120"/>
        <w:rPr>
          <w:rFonts w:ascii="Arial" w:hAnsi="Arial" w:cs="Arial"/>
          <w:sz w:val="22"/>
          <w:szCs w:val="22"/>
        </w:rPr>
      </w:pPr>
      <w:r w:rsidRPr="00C477D7">
        <w:rPr>
          <w:rFonts w:ascii="Arial" w:hAnsi="Arial" w:cs="Arial"/>
          <w:sz w:val="22"/>
          <w:szCs w:val="22"/>
        </w:rPr>
        <w:lastRenderedPageBreak/>
        <w:t>El ajuste es el siguiente:</w:t>
      </w:r>
    </w:p>
    <w:p w14:paraId="13EEB8B2" w14:textId="77777777" w:rsidR="00D215AE" w:rsidRDefault="00D215AE" w:rsidP="00D215AE">
      <w:pPr>
        <w:pStyle w:val="NormalWeb"/>
        <w:tabs>
          <w:tab w:val="left" w:pos="8910"/>
        </w:tabs>
        <w:spacing w:before="240" w:after="120"/>
        <w:rPr>
          <w:rFonts w:ascii="Arial" w:hAnsi="Arial" w:cs="Arial"/>
          <w:color w:val="FF0000"/>
          <w:sz w:val="22"/>
          <w:szCs w:val="22"/>
        </w:rPr>
      </w:pPr>
    </w:p>
    <w:p w14:paraId="4830385D" w14:textId="77777777" w:rsidR="00D215AE" w:rsidRDefault="00D215AE" w:rsidP="00D215AE">
      <w:pPr>
        <w:pStyle w:val="NormalWeb"/>
        <w:tabs>
          <w:tab w:val="left" w:pos="8910"/>
        </w:tabs>
        <w:spacing w:before="240" w:after="120"/>
      </w:pPr>
      <w:r>
        <w:rPr>
          <w:rFonts w:ascii="Arial" w:hAnsi="Arial" w:cs="Arial"/>
          <w:noProof/>
          <w:color w:val="FF0000"/>
          <w:sz w:val="22"/>
          <w:szCs w:val="22"/>
          <w:lang w:val="es-CR" w:eastAsia="es-CR"/>
        </w:rPr>
        <w:drawing>
          <wp:anchor distT="0" distB="0" distL="114300" distR="114300" simplePos="0" relativeHeight="251661312" behindDoc="0" locked="0" layoutInCell="1" allowOverlap="1" wp14:anchorId="68E1CD36" wp14:editId="398A8F9F">
            <wp:simplePos x="0" y="0"/>
            <wp:positionH relativeFrom="column">
              <wp:posOffset>556202</wp:posOffset>
            </wp:positionH>
            <wp:positionV relativeFrom="paragraph">
              <wp:posOffset>-62279</wp:posOffset>
            </wp:positionV>
            <wp:extent cx="4632478" cy="2862721"/>
            <wp:effectExtent l="0" t="0" r="0" b="0"/>
            <wp:wrapTopAndBottom/>
            <wp:docPr id="2" name="gráficos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4632478" cy="2862721"/>
                    </a:xfrm>
                    <a:prstGeom prst="rect">
                      <a:avLst/>
                    </a:prstGeom>
                    <a:noFill/>
                    <a:ln>
                      <a:noFill/>
                      <a:prstDash/>
                    </a:ln>
                  </pic:spPr>
                </pic:pic>
              </a:graphicData>
            </a:graphic>
          </wp:anchor>
        </w:drawing>
      </w:r>
    </w:p>
    <w:p w14:paraId="7CEF2E5C" w14:textId="77777777" w:rsidR="00D215AE" w:rsidRPr="007E654A" w:rsidRDefault="00D215AE" w:rsidP="00D215AE">
      <w:pPr>
        <w:pStyle w:val="Standard"/>
        <w:widowControl w:val="0"/>
        <w:numPr>
          <w:ilvl w:val="0"/>
          <w:numId w:val="6"/>
        </w:numPr>
        <w:tabs>
          <w:tab w:val="left" w:pos="2430"/>
        </w:tabs>
        <w:overflowPunct/>
        <w:autoSpaceDE/>
        <w:spacing w:before="240" w:after="120" w:line="276" w:lineRule="auto"/>
        <w:jc w:val="both"/>
      </w:pPr>
      <w:r w:rsidRPr="007E654A">
        <w:rPr>
          <w:rFonts w:ascii="Arial" w:hAnsi="Arial" w:cs="Arial"/>
          <w:sz w:val="22"/>
          <w:szCs w:val="22"/>
        </w:rPr>
        <w:t>En el Estado de Resultados se muestra la sección de “</w:t>
      </w:r>
      <w:r w:rsidRPr="007E654A">
        <w:rPr>
          <w:rFonts w:ascii="Arial" w:hAnsi="Arial" w:cs="Arial"/>
          <w:b/>
          <w:sz w:val="22"/>
          <w:szCs w:val="22"/>
        </w:rPr>
        <w:t>TRANSFERENCIAS NO REEMBOLSABLES A PROGRAMAS DE INVERSIÓN</w:t>
      </w:r>
      <w:r w:rsidRPr="007E654A">
        <w:rPr>
          <w:rFonts w:ascii="Arial" w:hAnsi="Arial" w:cs="Arial"/>
          <w:sz w:val="22"/>
          <w:szCs w:val="22"/>
        </w:rPr>
        <w:t>”, en la cual se registran los aportes por concepto de contrapartida y otros que efectúa AyA a los programas de Asignaciones Familiares y KFWII, esto según lo estipulado en el párrafo Nº 4.52 del Marco Conceptual de las NIIF, por corresponder a la construcción de sistemas que no serán administrados por AyA, además de los desembolsos recibidos del programa KFW, los cuales acorde con el párrafo 4.53 de  del Marco Conceptual de las NIIF deben reconocerse como un gasto.</w:t>
      </w:r>
    </w:p>
    <w:p w14:paraId="7ED272CF" w14:textId="77777777" w:rsidR="007E654A" w:rsidRDefault="00D215AE" w:rsidP="001321AE">
      <w:pPr>
        <w:pStyle w:val="Standard"/>
        <w:widowControl w:val="0"/>
        <w:numPr>
          <w:ilvl w:val="0"/>
          <w:numId w:val="6"/>
        </w:numPr>
        <w:tabs>
          <w:tab w:val="left" w:pos="2430"/>
        </w:tabs>
        <w:overflowPunct/>
        <w:autoSpaceDE/>
        <w:spacing w:before="240" w:after="120" w:line="276" w:lineRule="auto"/>
        <w:jc w:val="both"/>
        <w:rPr>
          <w:rFonts w:ascii="Arial" w:hAnsi="Arial" w:cs="Arial"/>
          <w:sz w:val="22"/>
          <w:szCs w:val="22"/>
        </w:rPr>
      </w:pPr>
      <w:r w:rsidRPr="007E654A">
        <w:rPr>
          <w:rFonts w:ascii="Arial" w:hAnsi="Arial" w:cs="Arial"/>
          <w:sz w:val="22"/>
          <w:szCs w:val="22"/>
        </w:rPr>
        <w:t>De acuerdo con las Normas Internacionales de Información Financiera (NIC 16) se establece que para el reconocimiento de un activo se debe cumplir con dos condiciones, a saber: a) probabilidad de que la entidad obtenga beneficios económicos futuros derivados del mismo; y b) que el costo del elemento pueda medirse con fiabilidad.  En la carga inicial de activos al SIFS realizada en 1999, un grupo importante de activos no presentaba información detallada, sobre todo en la descripción del activo ya que esta información no estaba contenida en los sistemas contables anteriores al SAP, por lo cual no fue posible conciliar el activo con el auxiliar contable y los inventarios físicos.</w:t>
      </w:r>
    </w:p>
    <w:p w14:paraId="6A8B64E9" w14:textId="77777777" w:rsidR="004C12BA" w:rsidRPr="0084586B" w:rsidRDefault="00DA6685" w:rsidP="00DA6685">
      <w:pPr>
        <w:pStyle w:val="Standard"/>
        <w:widowControl w:val="0"/>
        <w:tabs>
          <w:tab w:val="left" w:pos="2430"/>
        </w:tabs>
        <w:overflowPunct/>
        <w:autoSpaceDE/>
        <w:spacing w:before="240" w:after="120" w:line="276" w:lineRule="auto"/>
        <w:jc w:val="right"/>
        <w:rPr>
          <w:rFonts w:ascii="Arial" w:hAnsi="Arial" w:cs="Arial"/>
          <w:sz w:val="22"/>
          <w:szCs w:val="22"/>
        </w:rPr>
      </w:pPr>
      <w:r>
        <w:rPr>
          <w:rFonts w:ascii="Arial" w:hAnsi="Arial" w:cs="Arial"/>
          <w:sz w:val="22"/>
          <w:szCs w:val="22"/>
        </w:rPr>
        <w:t>4</w:t>
      </w:r>
    </w:p>
    <w:p w14:paraId="00AB2646" w14:textId="77777777" w:rsidR="00D215AE" w:rsidRPr="003472E3" w:rsidRDefault="003472E3" w:rsidP="00D215AE">
      <w:pPr>
        <w:pStyle w:val="Standard"/>
        <w:widowControl w:val="0"/>
        <w:numPr>
          <w:ilvl w:val="0"/>
          <w:numId w:val="6"/>
        </w:numPr>
        <w:tabs>
          <w:tab w:val="left" w:pos="2430"/>
        </w:tabs>
        <w:overflowPunct/>
        <w:autoSpaceDE/>
        <w:spacing w:before="240" w:after="120" w:line="276" w:lineRule="auto"/>
        <w:jc w:val="both"/>
        <w:rPr>
          <w:rFonts w:ascii="Arial" w:hAnsi="Arial" w:cs="Arial"/>
          <w:sz w:val="22"/>
          <w:szCs w:val="22"/>
        </w:rPr>
      </w:pPr>
      <w:r>
        <w:rPr>
          <w:rFonts w:ascii="Arial" w:hAnsi="Arial" w:cs="Arial"/>
          <w:noProof/>
          <w:color w:val="FF0000"/>
          <w:sz w:val="22"/>
          <w:szCs w:val="22"/>
          <w:lang w:val="es-CR" w:eastAsia="es-CR"/>
        </w:rPr>
        <w:lastRenderedPageBreak/>
        <w:drawing>
          <wp:anchor distT="0" distB="0" distL="114300" distR="114300" simplePos="0" relativeHeight="251662336" behindDoc="0" locked="0" layoutInCell="1" allowOverlap="1" wp14:anchorId="13B49C08" wp14:editId="12D2AD82">
            <wp:simplePos x="0" y="0"/>
            <wp:positionH relativeFrom="column">
              <wp:posOffset>710565</wp:posOffset>
            </wp:positionH>
            <wp:positionV relativeFrom="paragraph">
              <wp:posOffset>1363345</wp:posOffset>
            </wp:positionV>
            <wp:extent cx="4038600" cy="1920240"/>
            <wp:effectExtent l="0" t="0" r="0" b="3810"/>
            <wp:wrapTopAndBottom/>
            <wp:docPr id="3" name="gráfico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4038600" cy="19202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D215AE" w:rsidRPr="007E654A">
        <w:rPr>
          <w:rFonts w:ascii="Arial" w:hAnsi="Arial" w:cs="Arial"/>
          <w:sz w:val="22"/>
          <w:szCs w:val="22"/>
        </w:rPr>
        <w:t xml:space="preserve">Dado lo </w:t>
      </w:r>
      <w:r w:rsidR="00615538">
        <w:rPr>
          <w:rFonts w:ascii="Arial" w:hAnsi="Arial" w:cs="Arial"/>
          <w:sz w:val="22"/>
          <w:szCs w:val="22"/>
        </w:rPr>
        <w:t>anterior, en el año</w:t>
      </w:r>
      <w:r w:rsidR="00D215AE" w:rsidRPr="007E654A">
        <w:rPr>
          <w:rFonts w:ascii="Arial" w:hAnsi="Arial" w:cs="Arial"/>
          <w:sz w:val="22"/>
          <w:szCs w:val="22"/>
        </w:rPr>
        <w:t xml:space="preserve"> 2012, mediante el caso contable Nº 2136 la Dirección de Contabilidad procede a dar de baja activos que están totalmente depreciados y sobre los cuales no hay certeza que cumplan con las condiciones para ser activos fijos. El importe correspondiente al valor residual de los activos, se líquida contra pérdidas por bajas de activos, mientras que el saldo de la revaluación de los activos se líquida contra el Superávit por Revaluación Acumulado. A continuación, el detalle de tal ajuste:</w:t>
      </w:r>
    </w:p>
    <w:p w14:paraId="40E806EC" w14:textId="77777777" w:rsidR="00C50996" w:rsidRPr="00C50996" w:rsidRDefault="00D215AE" w:rsidP="00C50996">
      <w:pPr>
        <w:pStyle w:val="Standard"/>
        <w:widowControl w:val="0"/>
        <w:numPr>
          <w:ilvl w:val="0"/>
          <w:numId w:val="6"/>
        </w:numPr>
        <w:tabs>
          <w:tab w:val="left" w:pos="2430"/>
        </w:tabs>
        <w:overflowPunct/>
        <w:autoSpaceDE/>
        <w:spacing w:before="240" w:after="120" w:line="276" w:lineRule="auto"/>
        <w:jc w:val="both"/>
        <w:rPr>
          <w:rFonts w:ascii="Arial" w:hAnsi="Arial" w:cs="Arial"/>
          <w:sz w:val="22"/>
          <w:szCs w:val="22"/>
        </w:rPr>
      </w:pPr>
      <w:r w:rsidRPr="007E654A">
        <w:rPr>
          <w:rFonts w:ascii="Arial" w:hAnsi="Arial" w:cs="Arial"/>
          <w:sz w:val="22"/>
          <w:szCs w:val="22"/>
        </w:rPr>
        <w:t>Los ingresos presentan una variación que se ha visto influenciada por las siguientes resoluciones del ARESEP:</w:t>
      </w:r>
    </w:p>
    <w:p w14:paraId="205E6E1E" w14:textId="77777777" w:rsidR="00C50996" w:rsidRDefault="00C50996" w:rsidP="00C50996">
      <w:pPr>
        <w:pStyle w:val="Standard"/>
        <w:widowControl w:val="0"/>
        <w:tabs>
          <w:tab w:val="left" w:pos="2430"/>
        </w:tabs>
        <w:overflowPunct/>
        <w:autoSpaceDE/>
        <w:spacing w:before="240" w:after="120" w:line="276" w:lineRule="auto"/>
        <w:ind w:left="720"/>
        <w:jc w:val="both"/>
        <w:rPr>
          <w:rFonts w:ascii="Arial" w:hAnsi="Arial" w:cs="Arial"/>
          <w:sz w:val="22"/>
          <w:szCs w:val="22"/>
        </w:rPr>
      </w:pPr>
      <w:r>
        <w:rPr>
          <w:rFonts w:ascii="Arial" w:hAnsi="Arial" w:cs="Arial"/>
          <w:sz w:val="22"/>
          <w:szCs w:val="22"/>
        </w:rPr>
        <w:t>R</w:t>
      </w:r>
      <w:r w:rsidRPr="00C50996">
        <w:rPr>
          <w:rFonts w:ascii="Arial" w:hAnsi="Arial" w:cs="Arial"/>
          <w:sz w:val="22"/>
          <w:szCs w:val="22"/>
        </w:rPr>
        <w:t>esolución RIA 002-2016 del 03 de febrero del 2016 se aprobó un aumento escalonado para el servicio de hidrantes.  El aumento es escalonado a partir del 2016 hasta el 2020, iniciando en el 2016 con 1,5 colones y 3,5 colones en el 2017 y 2 colones del 2018 al 2020 hasta alcanzar una tarifa de 26 colones por metro cúbico.</w:t>
      </w:r>
    </w:p>
    <w:p w14:paraId="61B346CB" w14:textId="77777777" w:rsidR="00C50996" w:rsidRPr="00C50996" w:rsidRDefault="00C50996" w:rsidP="003472E3">
      <w:pPr>
        <w:pStyle w:val="Standard"/>
        <w:widowControl w:val="0"/>
        <w:tabs>
          <w:tab w:val="left" w:pos="2430"/>
        </w:tabs>
        <w:overflowPunct/>
        <w:autoSpaceDE/>
        <w:spacing w:before="240" w:after="120" w:line="276" w:lineRule="auto"/>
        <w:ind w:left="720"/>
        <w:jc w:val="both"/>
        <w:rPr>
          <w:rFonts w:ascii="Arial" w:hAnsi="Arial" w:cs="Arial"/>
          <w:sz w:val="22"/>
          <w:szCs w:val="22"/>
        </w:rPr>
      </w:pPr>
      <w:r w:rsidRPr="00C50996">
        <w:rPr>
          <w:rFonts w:ascii="Arial" w:hAnsi="Arial" w:cs="Arial"/>
          <w:sz w:val="22"/>
          <w:szCs w:val="22"/>
        </w:rPr>
        <w:t>Para los servicios de acueducto y alcantarillado, a partir del 1° de octubre 2017 rige el aumento publicado en la Gaceta N° 179 del 21 de setiembre, el aumento afecta tanto el cargo fijo por la conexión de los servicios, como la tarifa de consumo según l</w:t>
      </w:r>
      <w:r>
        <w:rPr>
          <w:rFonts w:ascii="Arial" w:hAnsi="Arial" w:cs="Arial"/>
          <w:sz w:val="22"/>
          <w:szCs w:val="22"/>
        </w:rPr>
        <w:t>os diferentes rangos definidos.</w:t>
      </w:r>
      <w:r w:rsidRPr="00C50996">
        <w:rPr>
          <w:rFonts w:ascii="Arial" w:hAnsi="Arial" w:cs="Arial"/>
          <w:sz w:val="22"/>
          <w:szCs w:val="22"/>
        </w:rPr>
        <w:t xml:space="preserve"> El mayor aumento se da en la tarifa de alcantarillado, la cual se incrementa en un 43.5%, aumento que se aplica para el período 2017-201</w:t>
      </w:r>
      <w:r w:rsidR="003472E3">
        <w:rPr>
          <w:rFonts w:ascii="Arial" w:hAnsi="Arial" w:cs="Arial"/>
          <w:sz w:val="22"/>
          <w:szCs w:val="22"/>
        </w:rPr>
        <w:t>8 y para los años 2019 al 2021.</w:t>
      </w:r>
    </w:p>
    <w:p w14:paraId="35AFC80B" w14:textId="77777777" w:rsidR="00D215AE" w:rsidRPr="00C50996" w:rsidRDefault="00AB28ED" w:rsidP="00C50996">
      <w:pPr>
        <w:spacing w:before="0" w:beforeAutospacing="0" w:after="0" w:afterAutospacing="0" w:line="240" w:lineRule="auto"/>
        <w:rPr>
          <w:rFonts w:ascii="Arial" w:hAnsi="Arial" w:cs="Arial"/>
          <w:lang w:eastAsia="ar-SA"/>
        </w:rPr>
      </w:pPr>
      <w:r w:rsidRPr="00C50996">
        <w:rPr>
          <w:rFonts w:ascii="Arial" w:hAnsi="Arial" w:cs="Arial"/>
          <w:lang w:eastAsia="ar-SA"/>
        </w:rPr>
        <w:t xml:space="preserve"> </w:t>
      </w:r>
      <w:r w:rsidR="007E654A" w:rsidRPr="00C50996">
        <w:rPr>
          <w:rFonts w:ascii="Arial" w:hAnsi="Arial" w:cs="Arial"/>
          <w:lang w:eastAsia="ar-SA"/>
        </w:rPr>
        <w:t xml:space="preserve"> </w:t>
      </w:r>
    </w:p>
    <w:p w14:paraId="339A0FDC" w14:textId="77777777" w:rsidR="00C50996" w:rsidRPr="00C50996" w:rsidRDefault="00C50996" w:rsidP="00C50996">
      <w:pPr>
        <w:pStyle w:val="Prrafodelista"/>
        <w:numPr>
          <w:ilvl w:val="0"/>
          <w:numId w:val="6"/>
        </w:numPr>
        <w:spacing w:before="0" w:beforeAutospacing="0" w:after="0" w:afterAutospacing="0" w:line="240" w:lineRule="auto"/>
        <w:ind w:left="714" w:hanging="357"/>
        <w:rPr>
          <w:rFonts w:ascii="Arial" w:hAnsi="Arial" w:cs="Arial"/>
          <w:lang w:eastAsia="ar-SA"/>
        </w:rPr>
      </w:pPr>
      <w:r w:rsidRPr="00C50996">
        <w:rPr>
          <w:rFonts w:ascii="Arial" w:hAnsi="Arial" w:cs="Arial"/>
          <w:lang w:eastAsia="ar-SA"/>
        </w:rPr>
        <w:t>Aplicación de la nueva Política Contable para el registro de las donaciones que establece que las donaciones se deben diferir en el período de la vida útil de los activos recibidos, por tanto, se contabilizan originalmente como un pasivo diferido y se amortizan conforme se realizan.</w:t>
      </w:r>
    </w:p>
    <w:p w14:paraId="385F37CD" w14:textId="77777777" w:rsidR="007F5154" w:rsidRDefault="007F5154" w:rsidP="00D215AE">
      <w:pPr>
        <w:pStyle w:val="Standard"/>
        <w:jc w:val="both"/>
        <w:rPr>
          <w:rFonts w:ascii="Arial" w:eastAsiaTheme="minorHAnsi" w:hAnsi="Arial" w:cs="Arial"/>
          <w:kern w:val="0"/>
          <w:sz w:val="22"/>
          <w:szCs w:val="22"/>
          <w:lang w:val="es-CR" w:eastAsia="ar-SA"/>
        </w:rPr>
      </w:pPr>
    </w:p>
    <w:p w14:paraId="37EC74E3" w14:textId="77777777" w:rsidR="007E654A" w:rsidRDefault="00D215AE" w:rsidP="00D215AE">
      <w:pPr>
        <w:pStyle w:val="Standard"/>
        <w:jc w:val="both"/>
        <w:rPr>
          <w:rFonts w:ascii="Arial" w:hAnsi="Arial" w:cs="Arial"/>
          <w:sz w:val="22"/>
          <w:szCs w:val="22"/>
        </w:rPr>
      </w:pPr>
      <w:r w:rsidRPr="007E654A">
        <w:rPr>
          <w:rFonts w:ascii="Arial" w:hAnsi="Arial" w:cs="Arial"/>
          <w:sz w:val="22"/>
          <w:szCs w:val="22"/>
        </w:rPr>
        <w:t xml:space="preserve">Mencionado lo anterior </w:t>
      </w:r>
      <w:r w:rsidR="00C50996">
        <w:rPr>
          <w:rFonts w:ascii="Arial" w:hAnsi="Arial" w:cs="Arial"/>
          <w:sz w:val="22"/>
          <w:szCs w:val="22"/>
        </w:rPr>
        <w:t>se procede con el análisis al 31</w:t>
      </w:r>
      <w:r w:rsidRPr="007E654A">
        <w:rPr>
          <w:rFonts w:ascii="Arial" w:hAnsi="Arial" w:cs="Arial"/>
          <w:sz w:val="22"/>
          <w:szCs w:val="22"/>
        </w:rPr>
        <w:t xml:space="preserve"> d</w:t>
      </w:r>
      <w:r w:rsidR="00C50996">
        <w:rPr>
          <w:rFonts w:ascii="Arial" w:hAnsi="Arial" w:cs="Arial"/>
          <w:sz w:val="22"/>
          <w:szCs w:val="22"/>
        </w:rPr>
        <w:t>e dic</w:t>
      </w:r>
      <w:r w:rsidR="005B3D3C">
        <w:rPr>
          <w:rFonts w:ascii="Arial" w:hAnsi="Arial" w:cs="Arial"/>
          <w:sz w:val="22"/>
          <w:szCs w:val="22"/>
        </w:rPr>
        <w:t>iembre</w:t>
      </w:r>
      <w:r w:rsidR="00703ADA">
        <w:rPr>
          <w:rFonts w:ascii="Arial" w:hAnsi="Arial" w:cs="Arial"/>
          <w:sz w:val="22"/>
          <w:szCs w:val="22"/>
        </w:rPr>
        <w:t xml:space="preserve"> 2017-2018</w:t>
      </w:r>
      <w:r w:rsidR="00C50996">
        <w:rPr>
          <w:rFonts w:ascii="Arial" w:hAnsi="Arial" w:cs="Arial"/>
          <w:sz w:val="22"/>
          <w:szCs w:val="22"/>
        </w:rPr>
        <w:t>:</w:t>
      </w:r>
    </w:p>
    <w:p w14:paraId="054CF1E6" w14:textId="77777777" w:rsidR="0083271E" w:rsidRPr="00703ADA" w:rsidRDefault="0083271E" w:rsidP="00D215AE">
      <w:pPr>
        <w:pStyle w:val="Standard"/>
        <w:jc w:val="both"/>
        <w:rPr>
          <w:rFonts w:ascii="Arial" w:hAnsi="Arial" w:cs="Arial"/>
          <w:sz w:val="22"/>
          <w:szCs w:val="22"/>
        </w:rPr>
      </w:pPr>
    </w:p>
    <w:p w14:paraId="73E8B854" w14:textId="77777777" w:rsidR="00873C14" w:rsidRPr="00DA6685" w:rsidRDefault="00DA6685" w:rsidP="00DA6685">
      <w:pPr>
        <w:pStyle w:val="Standard"/>
        <w:spacing w:before="77" w:line="240" w:lineRule="exact"/>
        <w:ind w:right="49"/>
        <w:jc w:val="right"/>
        <w:rPr>
          <w:rFonts w:ascii="Arial" w:hAnsi="Arial" w:cs="Arial"/>
          <w:sz w:val="22"/>
          <w:szCs w:val="22"/>
        </w:rPr>
      </w:pPr>
      <w:r w:rsidRPr="00DA6685">
        <w:rPr>
          <w:rFonts w:ascii="Arial" w:hAnsi="Arial" w:cs="Arial"/>
          <w:sz w:val="22"/>
          <w:szCs w:val="22"/>
        </w:rPr>
        <w:t>5</w:t>
      </w:r>
    </w:p>
    <w:p w14:paraId="41F45C10" w14:textId="77777777" w:rsidR="007F5154" w:rsidRDefault="007F5154" w:rsidP="00873C14">
      <w:pPr>
        <w:pStyle w:val="Standard"/>
        <w:spacing w:before="77" w:line="240" w:lineRule="exact"/>
        <w:ind w:right="49"/>
        <w:rPr>
          <w:rFonts w:ascii="Arial" w:hAnsi="Arial" w:cs="Arial"/>
          <w:b/>
          <w:sz w:val="22"/>
          <w:szCs w:val="22"/>
        </w:rPr>
      </w:pPr>
    </w:p>
    <w:p w14:paraId="567C9ADE" w14:textId="77777777" w:rsidR="00D215AE" w:rsidRPr="00703ADA" w:rsidRDefault="00D215AE" w:rsidP="00873C14">
      <w:pPr>
        <w:pStyle w:val="Standard"/>
        <w:spacing w:before="77" w:line="240" w:lineRule="exact"/>
        <w:ind w:right="49"/>
        <w:jc w:val="center"/>
        <w:rPr>
          <w:rFonts w:ascii="Arial" w:hAnsi="Arial" w:cs="Arial"/>
          <w:b/>
          <w:sz w:val="22"/>
          <w:szCs w:val="22"/>
        </w:rPr>
      </w:pPr>
      <w:r w:rsidRPr="00703ADA">
        <w:rPr>
          <w:rFonts w:ascii="Arial" w:hAnsi="Arial" w:cs="Arial"/>
          <w:b/>
          <w:sz w:val="22"/>
          <w:szCs w:val="22"/>
        </w:rPr>
        <w:t>ANÁLISIS DE ESTADOS FINANCIEROS</w:t>
      </w:r>
    </w:p>
    <w:p w14:paraId="054E1450" w14:textId="77777777" w:rsidR="00D215AE" w:rsidRPr="00703ADA" w:rsidRDefault="00D215AE" w:rsidP="00D215AE">
      <w:pPr>
        <w:pStyle w:val="Standard"/>
        <w:spacing w:before="77" w:line="240" w:lineRule="exact"/>
        <w:ind w:right="49"/>
        <w:jc w:val="center"/>
        <w:rPr>
          <w:rFonts w:ascii="Arial" w:hAnsi="Arial" w:cs="Arial"/>
          <w:b/>
          <w:sz w:val="22"/>
          <w:szCs w:val="22"/>
        </w:rPr>
      </w:pPr>
    </w:p>
    <w:p w14:paraId="1F6DF67D" w14:textId="77777777" w:rsidR="0083271E" w:rsidRPr="0083271E" w:rsidRDefault="0083271E" w:rsidP="0083271E">
      <w:pPr>
        <w:pStyle w:val="Ttulo2"/>
        <w:rPr>
          <w:b/>
          <w:color w:val="000000" w:themeColor="text1"/>
        </w:rPr>
      </w:pPr>
      <w:r w:rsidRPr="0083271E">
        <w:rPr>
          <w:rFonts w:ascii="Arial" w:hAnsi="Arial" w:cs="Arial"/>
          <w:b/>
          <w:color w:val="000000" w:themeColor="text1"/>
          <w:sz w:val="22"/>
        </w:rPr>
        <w:t>Estado de Situación Financiera</w:t>
      </w:r>
    </w:p>
    <w:p w14:paraId="5895E071" w14:textId="77777777" w:rsidR="0083271E" w:rsidRDefault="0083271E" w:rsidP="0083271E">
      <w:pPr>
        <w:jc w:val="center"/>
      </w:pPr>
      <w:r>
        <w:rPr>
          <w:rFonts w:ascii="Arial" w:hAnsi="Arial" w:cs="Arial"/>
          <w:b/>
        </w:rPr>
        <w:t xml:space="preserve">                 Gráfico 1</w:t>
      </w:r>
    </w:p>
    <w:p w14:paraId="08D03063" w14:textId="77777777" w:rsidR="0083271E" w:rsidRDefault="0083271E" w:rsidP="0083271E">
      <w:pPr>
        <w:jc w:val="center"/>
      </w:pPr>
    </w:p>
    <w:p w14:paraId="35DCF791" w14:textId="77777777" w:rsidR="0083271E" w:rsidRDefault="003472E3" w:rsidP="0083271E">
      <w:pPr>
        <w:spacing w:before="0" w:beforeAutospacing="0" w:after="0" w:afterAutospacing="0" w:line="240" w:lineRule="auto"/>
        <w:rPr>
          <w:rFonts w:ascii="Arial" w:hAnsi="Arial" w:cs="Arial"/>
        </w:rPr>
      </w:pPr>
      <w:r>
        <w:rPr>
          <w:noProof/>
          <w:lang w:eastAsia="es-CR"/>
        </w:rPr>
        <w:drawing>
          <wp:anchor distT="0" distB="0" distL="114300" distR="114300" simplePos="0" relativeHeight="251805696" behindDoc="0" locked="0" layoutInCell="1" allowOverlap="1" wp14:anchorId="37571C75" wp14:editId="23EB923E">
            <wp:simplePos x="0" y="0"/>
            <wp:positionH relativeFrom="column">
              <wp:posOffset>2943225</wp:posOffset>
            </wp:positionH>
            <wp:positionV relativeFrom="paragraph">
              <wp:posOffset>10795</wp:posOffset>
            </wp:positionV>
            <wp:extent cx="3147060" cy="2354580"/>
            <wp:effectExtent l="0" t="0" r="0" b="762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47060" cy="2354580"/>
                    </a:xfrm>
                    <a:prstGeom prst="rect">
                      <a:avLst/>
                    </a:prstGeom>
                    <a:noFill/>
                    <a:ln>
                      <a:noFill/>
                    </a:ln>
                  </pic:spPr>
                </pic:pic>
              </a:graphicData>
            </a:graphic>
            <wp14:sizeRelH relativeFrom="page">
              <wp14:pctWidth>0</wp14:pctWidth>
            </wp14:sizeRelH>
            <wp14:sizeRelV relativeFrom="page">
              <wp14:pctHeight>0</wp14:pctHeight>
            </wp14:sizeRelV>
          </wp:anchor>
        </w:drawing>
      </w:r>
      <w:r w:rsidR="0083271E">
        <w:rPr>
          <w:rFonts w:ascii="Arial" w:hAnsi="Arial" w:cs="Arial"/>
        </w:rPr>
        <w:t xml:space="preserve">El Estado de Situación Financiera muestra un </w:t>
      </w:r>
      <w:r w:rsidR="0083271E">
        <w:rPr>
          <w:rFonts w:ascii="Arial" w:hAnsi="Arial" w:cs="Arial"/>
          <w:b/>
          <w:bCs/>
        </w:rPr>
        <w:t>aumento</w:t>
      </w:r>
      <w:r w:rsidR="0083271E">
        <w:rPr>
          <w:rFonts w:ascii="Arial" w:hAnsi="Arial" w:cs="Arial"/>
        </w:rPr>
        <w:t xml:space="preserve"> de ¢65.426 millones en el </w:t>
      </w:r>
      <w:r w:rsidR="0083271E">
        <w:rPr>
          <w:rFonts w:ascii="Arial" w:hAnsi="Arial" w:cs="Arial"/>
          <w:b/>
          <w:bCs/>
        </w:rPr>
        <w:t>Activo Total</w:t>
      </w:r>
      <w:r w:rsidR="0083271E">
        <w:rPr>
          <w:rFonts w:ascii="Arial" w:hAnsi="Arial" w:cs="Arial"/>
        </w:rPr>
        <w:t>, ya que pasa de ¢744.362 millones en diciembre 2017 a ¢809.789 millones en diciembre 2018.</w:t>
      </w:r>
    </w:p>
    <w:p w14:paraId="791258F4" w14:textId="77777777" w:rsidR="0083271E" w:rsidRDefault="0083271E" w:rsidP="0083271E">
      <w:pPr>
        <w:spacing w:before="0" w:beforeAutospacing="0" w:after="0" w:afterAutospacing="0" w:line="240" w:lineRule="auto"/>
        <w:rPr>
          <w:rFonts w:ascii="Arial" w:hAnsi="Arial" w:cs="Arial"/>
        </w:rPr>
      </w:pPr>
      <w:r>
        <w:rPr>
          <w:rFonts w:ascii="Arial" w:hAnsi="Arial" w:cs="Arial"/>
        </w:rPr>
        <w:t>El análisis vertical al 31 de diciembre 2018 refleja que el Activo Corriente</w:t>
      </w:r>
      <w:r>
        <w:rPr>
          <w:rFonts w:ascii="Arial" w:hAnsi="Arial" w:cs="Arial"/>
          <w:b/>
          <w:bCs/>
        </w:rPr>
        <w:t xml:space="preserve"> </w:t>
      </w:r>
      <w:r>
        <w:rPr>
          <w:rFonts w:ascii="Arial" w:hAnsi="Arial" w:cs="Arial"/>
        </w:rPr>
        <w:t>representa un 7% y el total de Propiedad Planta y equipo el 93%.</w:t>
      </w:r>
    </w:p>
    <w:p w14:paraId="4FEB7C54" w14:textId="77777777" w:rsidR="003472E3" w:rsidRDefault="003472E3" w:rsidP="0083271E">
      <w:pPr>
        <w:spacing w:before="0" w:beforeAutospacing="0" w:after="0" w:afterAutospacing="0" w:line="240" w:lineRule="auto"/>
        <w:rPr>
          <w:rFonts w:ascii="Arial" w:hAnsi="Arial" w:cs="Arial"/>
        </w:rPr>
      </w:pPr>
    </w:p>
    <w:p w14:paraId="180D8DBE" w14:textId="77777777" w:rsidR="0083271E" w:rsidRDefault="0083271E" w:rsidP="0083271E">
      <w:pPr>
        <w:spacing w:before="0" w:beforeAutospacing="0" w:after="0" w:afterAutospacing="0" w:line="240" w:lineRule="auto"/>
        <w:rPr>
          <w:rFonts w:ascii="Arial" w:hAnsi="Arial" w:cs="Arial"/>
        </w:rPr>
      </w:pPr>
      <w:r>
        <w:rPr>
          <w:rFonts w:ascii="Arial" w:hAnsi="Arial" w:cs="Arial"/>
        </w:rPr>
        <w:t xml:space="preserve">El </w:t>
      </w:r>
      <w:r>
        <w:rPr>
          <w:rFonts w:ascii="Arial" w:hAnsi="Arial" w:cs="Arial"/>
          <w:b/>
          <w:bCs/>
        </w:rPr>
        <w:t>Activo Corriente</w:t>
      </w:r>
      <w:r>
        <w:rPr>
          <w:rFonts w:ascii="Arial" w:hAnsi="Arial" w:cs="Arial"/>
        </w:rPr>
        <w:t xml:space="preserve"> asciende a ¢59.001 millones; de esta cifra el 38% es decir ¢22.525 millones, equivale a las cuentas de efectivo, bancos e inversiones transitorias de alta liquidez. Las cuentas por cobrar servicios netas suman ¢12.006 millones y representan el 20% del Activo Corriente, los inventarios ascienden a ¢9.952 millones (17%).</w:t>
      </w:r>
    </w:p>
    <w:p w14:paraId="5B0362BA" w14:textId="77777777" w:rsidR="0083271E" w:rsidRDefault="0083271E" w:rsidP="0083271E">
      <w:pPr>
        <w:spacing w:before="0" w:beforeAutospacing="0" w:after="0" w:afterAutospacing="0" w:line="240" w:lineRule="auto"/>
        <w:rPr>
          <w:rFonts w:ascii="Arial" w:hAnsi="Arial" w:cs="Arial"/>
        </w:rPr>
      </w:pPr>
    </w:p>
    <w:p w14:paraId="2BEF55F5" w14:textId="77777777" w:rsidR="0083271E" w:rsidRPr="004B39D2" w:rsidRDefault="0083271E" w:rsidP="0083271E">
      <w:pPr>
        <w:spacing w:before="0" w:beforeAutospacing="0" w:after="0" w:afterAutospacing="0" w:line="240" w:lineRule="auto"/>
      </w:pPr>
      <w:r>
        <w:rPr>
          <w:rFonts w:ascii="Arial" w:hAnsi="Arial" w:cs="Arial"/>
          <w:b/>
          <w:bCs/>
        </w:rPr>
        <w:t>Propiedad Planta y Equipo</w:t>
      </w:r>
      <w:r>
        <w:rPr>
          <w:rFonts w:ascii="Arial" w:hAnsi="Arial" w:cs="Arial"/>
        </w:rPr>
        <w:t xml:space="preserve"> aumenta en 10% (¢67.494 millones) siendo la cuenta de Obras en Diseño y Construcción la que presenta el mayor incremento ¢11.665 millones (60%) pues pasa de ¢19.531 millones en el 2017 a ¢31.196 millones en el 2018</w:t>
      </w:r>
      <w:r w:rsidRPr="004B39D2">
        <w:rPr>
          <w:rFonts w:ascii="Arial" w:hAnsi="Arial" w:cs="Arial"/>
        </w:rPr>
        <w:t xml:space="preserve">, </w:t>
      </w:r>
      <w:r>
        <w:rPr>
          <w:rFonts w:ascii="Arial" w:hAnsi="Arial" w:cs="Arial"/>
        </w:rPr>
        <w:t xml:space="preserve">producto del crecimiento en los proyectos de inversión y una leve mejora en la ejecución de los mismos. </w:t>
      </w:r>
    </w:p>
    <w:p w14:paraId="17C1706C" w14:textId="77777777" w:rsidR="0083271E" w:rsidRPr="004B39D2" w:rsidRDefault="0083271E" w:rsidP="0083271E">
      <w:pPr>
        <w:pStyle w:val="Textoindependiente"/>
        <w:tabs>
          <w:tab w:val="left" w:pos="4140"/>
        </w:tabs>
        <w:rPr>
          <w:rFonts w:ascii="Arial" w:hAnsi="Arial" w:cs="Arial"/>
          <w:b/>
          <w:sz w:val="22"/>
          <w:szCs w:val="22"/>
          <w:lang w:val="es-ES"/>
        </w:rPr>
      </w:pPr>
    </w:p>
    <w:p w14:paraId="73029F98" w14:textId="77777777" w:rsidR="0083271E" w:rsidRDefault="0083271E" w:rsidP="0083271E">
      <w:pPr>
        <w:pStyle w:val="Textoindependiente"/>
        <w:tabs>
          <w:tab w:val="left" w:pos="4140"/>
        </w:tabs>
        <w:rPr>
          <w:rFonts w:ascii="Arial" w:hAnsi="Arial" w:cs="Arial"/>
          <w:b/>
          <w:sz w:val="22"/>
          <w:szCs w:val="22"/>
          <w:lang w:val="es-ES"/>
        </w:rPr>
      </w:pPr>
    </w:p>
    <w:p w14:paraId="46B18B8B" w14:textId="77777777" w:rsidR="0083271E" w:rsidRDefault="0083271E" w:rsidP="0083271E">
      <w:pPr>
        <w:pStyle w:val="Textoindependiente"/>
        <w:tabs>
          <w:tab w:val="left" w:pos="4140"/>
        </w:tabs>
        <w:rPr>
          <w:rFonts w:ascii="Arial" w:hAnsi="Arial" w:cs="Arial"/>
          <w:b/>
          <w:sz w:val="22"/>
          <w:szCs w:val="22"/>
          <w:lang w:val="es-ES"/>
        </w:rPr>
      </w:pPr>
    </w:p>
    <w:p w14:paraId="2443411E" w14:textId="77777777" w:rsidR="0083271E" w:rsidRDefault="0083271E" w:rsidP="0083271E">
      <w:pPr>
        <w:pStyle w:val="Textoindependiente"/>
        <w:tabs>
          <w:tab w:val="left" w:pos="4140"/>
        </w:tabs>
        <w:rPr>
          <w:rFonts w:ascii="Arial" w:hAnsi="Arial" w:cs="Arial"/>
          <w:b/>
          <w:sz w:val="22"/>
          <w:szCs w:val="22"/>
          <w:lang w:val="es-ES"/>
        </w:rPr>
      </w:pPr>
    </w:p>
    <w:p w14:paraId="4325EBC6" w14:textId="77777777" w:rsidR="0083271E" w:rsidRDefault="0083271E" w:rsidP="0083271E">
      <w:pPr>
        <w:pStyle w:val="Textoindependiente"/>
        <w:tabs>
          <w:tab w:val="left" w:pos="4140"/>
        </w:tabs>
        <w:rPr>
          <w:rFonts w:ascii="Arial" w:hAnsi="Arial" w:cs="Arial"/>
          <w:b/>
          <w:sz w:val="22"/>
          <w:szCs w:val="22"/>
          <w:lang w:val="es-ES"/>
        </w:rPr>
      </w:pPr>
    </w:p>
    <w:p w14:paraId="20D2D689" w14:textId="77777777" w:rsidR="00A87E31" w:rsidRDefault="00A87E31" w:rsidP="0083271E">
      <w:pPr>
        <w:pStyle w:val="Textoindependiente"/>
        <w:tabs>
          <w:tab w:val="left" w:pos="4140"/>
        </w:tabs>
        <w:rPr>
          <w:rFonts w:ascii="Arial" w:hAnsi="Arial" w:cs="Arial"/>
          <w:b/>
          <w:sz w:val="22"/>
          <w:szCs w:val="22"/>
          <w:lang w:val="es-ES"/>
        </w:rPr>
      </w:pPr>
    </w:p>
    <w:p w14:paraId="537D03CF" w14:textId="77777777" w:rsidR="00A87E31" w:rsidRDefault="00A87E31" w:rsidP="0083271E">
      <w:pPr>
        <w:pStyle w:val="Textoindependiente"/>
        <w:tabs>
          <w:tab w:val="left" w:pos="4140"/>
        </w:tabs>
        <w:rPr>
          <w:rFonts w:ascii="Arial" w:hAnsi="Arial" w:cs="Arial"/>
          <w:b/>
          <w:sz w:val="22"/>
          <w:szCs w:val="22"/>
          <w:lang w:val="es-ES"/>
        </w:rPr>
      </w:pPr>
    </w:p>
    <w:p w14:paraId="7E080552" w14:textId="77777777" w:rsidR="003472E3" w:rsidRDefault="003472E3" w:rsidP="0083271E">
      <w:pPr>
        <w:pStyle w:val="Textoindependiente"/>
        <w:tabs>
          <w:tab w:val="left" w:pos="4140"/>
        </w:tabs>
        <w:rPr>
          <w:rFonts w:ascii="Arial" w:hAnsi="Arial" w:cs="Arial"/>
          <w:b/>
          <w:sz w:val="22"/>
          <w:szCs w:val="22"/>
          <w:lang w:val="es-ES"/>
        </w:rPr>
      </w:pPr>
    </w:p>
    <w:p w14:paraId="14C114ED" w14:textId="77777777" w:rsidR="003472E3" w:rsidRPr="00DA6685" w:rsidRDefault="00DA6685" w:rsidP="00DA6685">
      <w:pPr>
        <w:pStyle w:val="Textoindependiente"/>
        <w:tabs>
          <w:tab w:val="left" w:pos="4140"/>
        </w:tabs>
        <w:jc w:val="right"/>
        <w:rPr>
          <w:rFonts w:ascii="Arial" w:hAnsi="Arial" w:cs="Arial"/>
          <w:sz w:val="22"/>
          <w:szCs w:val="22"/>
          <w:lang w:val="es-ES"/>
        </w:rPr>
      </w:pPr>
      <w:r w:rsidRPr="00DA6685">
        <w:rPr>
          <w:rFonts w:ascii="Arial" w:hAnsi="Arial" w:cs="Arial"/>
          <w:sz w:val="22"/>
          <w:szCs w:val="22"/>
          <w:lang w:val="es-ES"/>
        </w:rPr>
        <w:t>6</w:t>
      </w:r>
    </w:p>
    <w:p w14:paraId="4E4C7E92" w14:textId="77777777" w:rsidR="0083271E" w:rsidRDefault="0083271E" w:rsidP="0083271E">
      <w:pPr>
        <w:pStyle w:val="Textoindependiente"/>
        <w:tabs>
          <w:tab w:val="left" w:pos="4140"/>
        </w:tabs>
        <w:rPr>
          <w:rFonts w:ascii="Arial" w:hAnsi="Arial" w:cs="Arial"/>
          <w:b/>
          <w:sz w:val="22"/>
          <w:szCs w:val="22"/>
          <w:lang w:val="es-ES"/>
        </w:rPr>
      </w:pPr>
      <w:r>
        <w:rPr>
          <w:rFonts w:ascii="Arial" w:hAnsi="Arial" w:cs="Arial"/>
          <w:b/>
          <w:sz w:val="22"/>
          <w:szCs w:val="22"/>
          <w:lang w:val="es-ES"/>
        </w:rPr>
        <w:lastRenderedPageBreak/>
        <w:t>Gráfico 2</w:t>
      </w:r>
    </w:p>
    <w:p w14:paraId="67A082E6" w14:textId="77777777" w:rsidR="0083271E" w:rsidRDefault="0083271E" w:rsidP="0083271E">
      <w:pPr>
        <w:pStyle w:val="Textoindependiente"/>
        <w:tabs>
          <w:tab w:val="left" w:pos="4140"/>
        </w:tabs>
        <w:rPr>
          <w:rFonts w:ascii="Arial" w:hAnsi="Arial" w:cs="Arial"/>
          <w:b/>
          <w:sz w:val="22"/>
          <w:szCs w:val="22"/>
          <w:lang w:val="es-ES"/>
        </w:rPr>
      </w:pPr>
      <w:r>
        <w:rPr>
          <w:noProof/>
        </w:rPr>
        <w:drawing>
          <wp:anchor distT="0" distB="0" distL="114300" distR="114300" simplePos="0" relativeHeight="251806720" behindDoc="0" locked="0" layoutInCell="1" allowOverlap="1" wp14:anchorId="1F5610EB" wp14:editId="43D3CA48">
            <wp:simplePos x="0" y="0"/>
            <wp:positionH relativeFrom="column">
              <wp:posOffset>0</wp:posOffset>
            </wp:positionH>
            <wp:positionV relativeFrom="paragraph">
              <wp:posOffset>160655</wp:posOffset>
            </wp:positionV>
            <wp:extent cx="3107690" cy="2202180"/>
            <wp:effectExtent l="0" t="0" r="0" b="762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7690" cy="220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CAA5EC" w14:textId="77777777" w:rsidR="0083271E" w:rsidRDefault="0083271E" w:rsidP="0083271E">
      <w:pPr>
        <w:tabs>
          <w:tab w:val="left" w:pos="4140"/>
        </w:tabs>
        <w:spacing w:before="0" w:beforeAutospacing="0" w:after="0" w:afterAutospacing="0" w:line="240" w:lineRule="auto"/>
        <w:rPr>
          <w:rFonts w:ascii="Arial" w:hAnsi="Arial" w:cs="Arial"/>
        </w:rPr>
      </w:pPr>
      <w:r>
        <w:rPr>
          <w:rFonts w:ascii="Arial" w:hAnsi="Arial" w:cs="Arial"/>
        </w:rPr>
        <w:t xml:space="preserve">En cuanto al análisis vertical de la </w:t>
      </w:r>
      <w:r>
        <w:rPr>
          <w:rFonts w:ascii="Arial" w:hAnsi="Arial" w:cs="Arial"/>
          <w:b/>
          <w:bCs/>
        </w:rPr>
        <w:t>Sección del Pasivo y Patrimonio</w:t>
      </w:r>
      <w:r>
        <w:rPr>
          <w:rFonts w:ascii="Arial" w:hAnsi="Arial" w:cs="Arial"/>
        </w:rPr>
        <w:t xml:space="preserve">, se obtiene que el </w:t>
      </w:r>
      <w:r>
        <w:rPr>
          <w:rFonts w:ascii="Arial" w:hAnsi="Arial" w:cs="Arial"/>
          <w:b/>
          <w:bCs/>
        </w:rPr>
        <w:t>Pasivo Total</w:t>
      </w:r>
      <w:r>
        <w:rPr>
          <w:rFonts w:ascii="Arial" w:hAnsi="Arial" w:cs="Arial"/>
        </w:rPr>
        <w:t xml:space="preserve"> por ¢84.187 millones representa un 10% del Total de Pasivo y Patrimonio; entre tanto el </w:t>
      </w:r>
      <w:r>
        <w:rPr>
          <w:rFonts w:ascii="Arial" w:hAnsi="Arial" w:cs="Arial"/>
          <w:b/>
          <w:bCs/>
        </w:rPr>
        <w:t>Patrimonio</w:t>
      </w:r>
      <w:r>
        <w:rPr>
          <w:rFonts w:ascii="Arial" w:hAnsi="Arial" w:cs="Arial"/>
        </w:rPr>
        <w:t xml:space="preserve"> representa un 90%.</w:t>
      </w:r>
    </w:p>
    <w:p w14:paraId="604C0595" w14:textId="77777777" w:rsidR="0083271E" w:rsidRDefault="0083271E" w:rsidP="0083271E">
      <w:pPr>
        <w:tabs>
          <w:tab w:val="left" w:pos="4140"/>
        </w:tabs>
        <w:spacing w:before="0" w:beforeAutospacing="0" w:after="0" w:afterAutospacing="0" w:line="240" w:lineRule="auto"/>
        <w:rPr>
          <w:rFonts w:ascii="Arial" w:hAnsi="Arial" w:cs="Arial"/>
        </w:rPr>
      </w:pPr>
    </w:p>
    <w:p w14:paraId="5F7EFD78" w14:textId="77777777" w:rsidR="0083271E" w:rsidRDefault="0083271E" w:rsidP="0083271E">
      <w:pPr>
        <w:tabs>
          <w:tab w:val="left" w:pos="4140"/>
        </w:tabs>
        <w:spacing w:before="0" w:beforeAutospacing="0" w:after="0" w:afterAutospacing="0" w:line="240" w:lineRule="auto"/>
      </w:pPr>
      <w:r>
        <w:rPr>
          <w:rFonts w:ascii="Arial" w:hAnsi="Arial" w:cs="Arial"/>
        </w:rPr>
        <w:t xml:space="preserve">El análisis horizontal indica que el </w:t>
      </w:r>
      <w:r>
        <w:rPr>
          <w:rFonts w:ascii="Arial" w:hAnsi="Arial" w:cs="Arial"/>
          <w:b/>
          <w:bCs/>
        </w:rPr>
        <w:t>Pasivo Total</w:t>
      </w:r>
      <w:r>
        <w:rPr>
          <w:rFonts w:ascii="Arial" w:hAnsi="Arial" w:cs="Arial"/>
        </w:rPr>
        <w:t xml:space="preserve"> es por ¢84.187 millones y el mismo crece en ¢9.544 millones para el 2018. </w:t>
      </w:r>
    </w:p>
    <w:p w14:paraId="25CEC45B" w14:textId="77777777" w:rsidR="0083271E" w:rsidRDefault="0083271E" w:rsidP="0083271E">
      <w:pPr>
        <w:tabs>
          <w:tab w:val="left" w:pos="4140"/>
        </w:tabs>
        <w:spacing w:before="0" w:beforeAutospacing="0" w:after="0" w:afterAutospacing="0" w:line="240" w:lineRule="auto"/>
      </w:pPr>
    </w:p>
    <w:p w14:paraId="084F8FC8" w14:textId="77777777" w:rsidR="0083271E" w:rsidRDefault="0083271E" w:rsidP="0083271E">
      <w:pPr>
        <w:tabs>
          <w:tab w:val="left" w:pos="4140"/>
        </w:tabs>
        <w:spacing w:before="0" w:beforeAutospacing="0" w:after="0" w:afterAutospacing="0" w:line="240" w:lineRule="auto"/>
      </w:pPr>
    </w:p>
    <w:p w14:paraId="6F4BB263" w14:textId="77777777" w:rsidR="0083271E" w:rsidRDefault="0083271E" w:rsidP="0083271E">
      <w:pPr>
        <w:tabs>
          <w:tab w:val="left" w:pos="4140"/>
        </w:tabs>
        <w:spacing w:before="0" w:beforeAutospacing="0" w:after="0" w:afterAutospacing="0" w:line="240" w:lineRule="auto"/>
      </w:pPr>
    </w:p>
    <w:p w14:paraId="46076BC9" w14:textId="77777777" w:rsidR="0083271E" w:rsidRDefault="0083271E" w:rsidP="0083271E">
      <w:pPr>
        <w:tabs>
          <w:tab w:val="left" w:pos="4140"/>
        </w:tabs>
        <w:spacing w:before="0" w:beforeAutospacing="0" w:after="0" w:afterAutospacing="0" w:line="240" w:lineRule="auto"/>
        <w:rPr>
          <w:rFonts w:ascii="Arial" w:hAnsi="Arial" w:cs="Arial"/>
          <w:lang w:val="es-ES"/>
        </w:rPr>
      </w:pPr>
      <w:r>
        <w:rPr>
          <w:rFonts w:ascii="Arial" w:hAnsi="Arial" w:cs="Arial"/>
        </w:rPr>
        <w:t>E</w:t>
      </w:r>
      <w:r>
        <w:rPr>
          <w:rFonts w:ascii="Arial" w:hAnsi="Arial" w:cs="Arial"/>
          <w:lang w:val="es-ES"/>
        </w:rPr>
        <w:t xml:space="preserve">l </w:t>
      </w:r>
      <w:r>
        <w:rPr>
          <w:rFonts w:ascii="Arial" w:hAnsi="Arial" w:cs="Arial"/>
          <w:b/>
          <w:bCs/>
          <w:lang w:val="es-ES"/>
        </w:rPr>
        <w:t>Pasivo Corriente</w:t>
      </w:r>
      <w:r>
        <w:rPr>
          <w:rFonts w:ascii="Arial" w:hAnsi="Arial" w:cs="Arial"/>
          <w:lang w:val="es-ES"/>
        </w:rPr>
        <w:t xml:space="preserve"> presenta un crecimiento</w:t>
      </w:r>
      <w:r>
        <w:rPr>
          <w:rFonts w:ascii="Arial" w:hAnsi="Arial" w:cs="Arial"/>
          <w:b/>
          <w:bCs/>
          <w:lang w:val="es-ES"/>
        </w:rPr>
        <w:t xml:space="preserve"> neto</w:t>
      </w:r>
      <w:r>
        <w:rPr>
          <w:rFonts w:ascii="Arial" w:hAnsi="Arial" w:cs="Arial"/>
          <w:lang w:val="es-ES"/>
        </w:rPr>
        <w:t xml:space="preserve"> en ¢988 millones producto del incremento entre partidas. </w:t>
      </w:r>
    </w:p>
    <w:p w14:paraId="25BEE68C" w14:textId="77777777" w:rsidR="0083271E" w:rsidRDefault="0083271E" w:rsidP="0083271E">
      <w:pPr>
        <w:tabs>
          <w:tab w:val="left" w:pos="4140"/>
        </w:tabs>
        <w:spacing w:before="0" w:beforeAutospacing="0" w:after="0" w:afterAutospacing="0" w:line="240" w:lineRule="auto"/>
      </w:pPr>
    </w:p>
    <w:p w14:paraId="279F4B3F" w14:textId="77777777" w:rsidR="0083271E" w:rsidRDefault="0083271E" w:rsidP="0083271E">
      <w:pPr>
        <w:tabs>
          <w:tab w:val="left" w:pos="4140"/>
        </w:tabs>
        <w:spacing w:before="0" w:beforeAutospacing="0" w:after="0" w:afterAutospacing="0" w:line="240" w:lineRule="auto"/>
        <w:rPr>
          <w:rStyle w:val="nfasis"/>
          <w:rFonts w:ascii="Arial" w:eastAsia="Times New (W1)" w:hAnsi="Arial" w:cs="Arial"/>
          <w:i w:val="0"/>
          <w:iCs w:val="0"/>
          <w:lang w:val="es-ES"/>
        </w:rPr>
      </w:pPr>
      <w:r w:rsidRPr="00E65335">
        <w:rPr>
          <w:rStyle w:val="nfasis"/>
          <w:rFonts w:ascii="Arial" w:eastAsia="Times New (W1)" w:hAnsi="Arial" w:cs="Arial"/>
          <w:i w:val="0"/>
          <w:iCs w:val="0"/>
          <w:lang w:val="es-ES"/>
        </w:rPr>
        <w:t xml:space="preserve">El </w:t>
      </w:r>
      <w:r w:rsidRPr="00E65335">
        <w:rPr>
          <w:rStyle w:val="nfasis"/>
          <w:rFonts w:ascii="Arial" w:eastAsia="Times New (W1)" w:hAnsi="Arial" w:cs="Arial"/>
          <w:b/>
          <w:bCs/>
          <w:i w:val="0"/>
          <w:iCs w:val="0"/>
          <w:lang w:val="es-ES"/>
        </w:rPr>
        <w:t>Pasivo no Corriente</w:t>
      </w:r>
      <w:r w:rsidRPr="00E65335">
        <w:rPr>
          <w:rStyle w:val="nfasis"/>
          <w:rFonts w:ascii="Arial" w:eastAsia="Times New (W1)" w:hAnsi="Arial" w:cs="Arial"/>
          <w:i w:val="0"/>
          <w:iCs w:val="0"/>
          <w:lang w:val="es-ES"/>
        </w:rPr>
        <w:t xml:space="preserve"> sufre un </w:t>
      </w:r>
      <w:r w:rsidRPr="00E65335">
        <w:rPr>
          <w:rStyle w:val="nfasis"/>
          <w:rFonts w:ascii="Arial" w:eastAsia="Times New (W1)" w:hAnsi="Arial" w:cs="Arial"/>
          <w:b/>
          <w:bCs/>
          <w:i w:val="0"/>
          <w:iCs w:val="0"/>
          <w:lang w:val="es-ES"/>
        </w:rPr>
        <w:t>ascenso neto</w:t>
      </w:r>
      <w:r w:rsidRPr="00E65335">
        <w:rPr>
          <w:rStyle w:val="nfasis"/>
          <w:rFonts w:ascii="Arial" w:eastAsia="Times New (W1)" w:hAnsi="Arial" w:cs="Arial"/>
          <w:i w:val="0"/>
          <w:iCs w:val="0"/>
          <w:lang w:val="es-ES"/>
        </w:rPr>
        <w:t xml:space="preserve"> de ¢8.556 millones, el movimiento más importante se presenta en la cuenta de Otro</w:t>
      </w:r>
      <w:r>
        <w:rPr>
          <w:rStyle w:val="nfasis"/>
          <w:rFonts w:ascii="Arial" w:eastAsia="Times New (W1)" w:hAnsi="Arial" w:cs="Arial"/>
          <w:i w:val="0"/>
          <w:iCs w:val="0"/>
          <w:lang w:val="es-ES"/>
        </w:rPr>
        <w:t>s Ingresos Diferidos con un monto</w:t>
      </w:r>
      <w:r w:rsidRPr="00E65335">
        <w:rPr>
          <w:rStyle w:val="nfasis"/>
          <w:rFonts w:ascii="Arial" w:eastAsia="Times New (W1)" w:hAnsi="Arial" w:cs="Arial"/>
          <w:i w:val="0"/>
          <w:iCs w:val="0"/>
          <w:lang w:val="es-ES"/>
        </w:rPr>
        <w:t xml:space="preserve"> de ¢7.089 millones que obedece a la implementación de la nueva Política Contable</w:t>
      </w:r>
      <w:r>
        <w:rPr>
          <w:rStyle w:val="nfasis"/>
          <w:rFonts w:ascii="Arial" w:eastAsia="Times New (W1)" w:hAnsi="Arial" w:cs="Arial"/>
          <w:i w:val="0"/>
          <w:iCs w:val="0"/>
          <w:lang w:val="es-ES"/>
        </w:rPr>
        <w:t xml:space="preserve"> para el registro de las donaciones</w:t>
      </w:r>
      <w:r w:rsidRPr="00E65335">
        <w:rPr>
          <w:rStyle w:val="nfasis"/>
          <w:rFonts w:ascii="Arial" w:eastAsia="Times New (W1)" w:hAnsi="Arial" w:cs="Arial"/>
          <w:i w:val="0"/>
          <w:iCs w:val="0"/>
          <w:lang w:val="es-ES"/>
        </w:rPr>
        <w:t xml:space="preserve"> que establece que </w:t>
      </w:r>
      <w:r>
        <w:rPr>
          <w:rStyle w:val="nfasis"/>
          <w:rFonts w:ascii="Arial" w:eastAsia="Times New (W1)" w:hAnsi="Arial" w:cs="Arial"/>
          <w:i w:val="0"/>
          <w:iCs w:val="0"/>
          <w:lang w:val="es-ES"/>
        </w:rPr>
        <w:t>las donaciones se deben diferir en el período de la vida útil de los activos recibidos, por tanto, se contabilizan originalmente como un pasivo diferido y se amortizan conforme se realizan</w:t>
      </w:r>
      <w:r w:rsidRPr="00E65335">
        <w:rPr>
          <w:rStyle w:val="nfasis"/>
          <w:rFonts w:ascii="Arial" w:eastAsia="Times New (W1)" w:hAnsi="Arial" w:cs="Arial"/>
          <w:i w:val="0"/>
          <w:iCs w:val="0"/>
          <w:lang w:val="es-ES"/>
        </w:rPr>
        <w:t>. Es decir, la amortización del Ingreso Diferido se registra en la misma proporción del Gasto de Depreciación Histórica de los elementos de Propiedad, Planta y Equipo relacionados</w:t>
      </w:r>
      <w:r>
        <w:rPr>
          <w:rStyle w:val="nfasis"/>
          <w:rFonts w:ascii="Arial" w:eastAsia="Times New (W1)" w:hAnsi="Arial" w:cs="Arial"/>
          <w:i w:val="0"/>
          <w:iCs w:val="0"/>
          <w:lang w:val="es-ES"/>
        </w:rPr>
        <w:t>. P</w:t>
      </w:r>
      <w:r w:rsidRPr="00E65335">
        <w:rPr>
          <w:rStyle w:val="nfasis"/>
          <w:rFonts w:ascii="Arial" w:eastAsia="Times New (W1)" w:hAnsi="Arial" w:cs="Arial"/>
          <w:i w:val="0"/>
          <w:iCs w:val="0"/>
          <w:lang w:val="es-ES"/>
        </w:rPr>
        <w:t>or otra parte</w:t>
      </w:r>
      <w:r>
        <w:rPr>
          <w:rStyle w:val="nfasis"/>
          <w:rFonts w:ascii="Arial" w:eastAsia="Times New (W1)" w:hAnsi="Arial" w:cs="Arial"/>
          <w:i w:val="0"/>
          <w:iCs w:val="0"/>
          <w:lang w:val="es-ES"/>
        </w:rPr>
        <w:t>,</w:t>
      </w:r>
      <w:r w:rsidRPr="00E65335">
        <w:rPr>
          <w:rStyle w:val="nfasis"/>
          <w:rFonts w:ascii="Arial" w:eastAsia="Times New (W1)" w:hAnsi="Arial" w:cs="Arial"/>
          <w:i w:val="0"/>
          <w:iCs w:val="0"/>
          <w:lang w:val="es-ES"/>
        </w:rPr>
        <w:t xml:space="preserve"> la cuenta 25101010 (Documentos por Pagar Nacionales Largo Plazo), sube ¢2.999 millones, derivado de una mayor ejecución del préstamo con el Ban</w:t>
      </w:r>
      <w:r>
        <w:rPr>
          <w:rStyle w:val="nfasis"/>
          <w:rFonts w:ascii="Arial" w:eastAsia="Times New (W1)" w:hAnsi="Arial" w:cs="Arial"/>
          <w:i w:val="0"/>
          <w:iCs w:val="0"/>
          <w:lang w:val="es-ES"/>
        </w:rPr>
        <w:t>co Nacional, durante el año 2018</w:t>
      </w:r>
      <w:r w:rsidRPr="00E65335">
        <w:rPr>
          <w:rStyle w:val="nfasis"/>
          <w:rFonts w:ascii="Arial" w:eastAsia="Times New (W1)" w:hAnsi="Arial" w:cs="Arial"/>
          <w:i w:val="0"/>
          <w:iCs w:val="0"/>
          <w:lang w:val="es-ES"/>
        </w:rPr>
        <w:t xml:space="preserve">. </w:t>
      </w:r>
    </w:p>
    <w:p w14:paraId="2516872E" w14:textId="77777777" w:rsidR="0083271E" w:rsidRPr="00E65335" w:rsidRDefault="0083271E" w:rsidP="0083271E">
      <w:pPr>
        <w:tabs>
          <w:tab w:val="left" w:pos="4140"/>
        </w:tabs>
        <w:spacing w:before="0" w:beforeAutospacing="0" w:after="0" w:afterAutospacing="0" w:line="240" w:lineRule="auto"/>
        <w:rPr>
          <w:rFonts w:ascii="Arial" w:eastAsia="Times New (W1)" w:hAnsi="Arial" w:cs="Arial"/>
          <w:lang w:val="es-ES"/>
        </w:rPr>
      </w:pPr>
    </w:p>
    <w:p w14:paraId="6C4CBAA3" w14:textId="77777777" w:rsidR="0083271E" w:rsidRDefault="0083271E" w:rsidP="0083271E">
      <w:pPr>
        <w:tabs>
          <w:tab w:val="left" w:pos="4140"/>
        </w:tabs>
        <w:spacing w:before="0" w:beforeAutospacing="0" w:after="0" w:afterAutospacing="0" w:line="240" w:lineRule="auto"/>
      </w:pPr>
      <w:r>
        <w:rPr>
          <w:rFonts w:ascii="Arial" w:eastAsia="Times New (W1)" w:hAnsi="Arial" w:cs="Arial"/>
          <w:lang w:val="es"/>
        </w:rPr>
        <w:t xml:space="preserve">El </w:t>
      </w:r>
      <w:r>
        <w:rPr>
          <w:rFonts w:ascii="Arial" w:eastAsia="Times New (W1)" w:hAnsi="Arial" w:cs="Arial"/>
          <w:b/>
          <w:bCs/>
          <w:lang w:val="es"/>
        </w:rPr>
        <w:t>Patrimonio Neto</w:t>
      </w:r>
      <w:r>
        <w:rPr>
          <w:rFonts w:ascii="Arial" w:eastAsia="Times New (W1)" w:hAnsi="Arial" w:cs="Arial"/>
          <w:lang w:val="es"/>
        </w:rPr>
        <w:t xml:space="preserve"> registra un aumento de ¢55.882 millones que se produce básicamente al </w:t>
      </w:r>
      <w:r>
        <w:rPr>
          <w:rFonts w:ascii="Arial" w:eastAsia="Times New (W1)" w:hAnsi="Arial" w:cs="Arial"/>
          <w:b/>
          <w:bCs/>
          <w:lang w:val="es"/>
        </w:rPr>
        <w:t>incremento</w:t>
      </w:r>
      <w:r>
        <w:rPr>
          <w:rFonts w:ascii="Arial" w:eastAsia="Times New (W1)" w:hAnsi="Arial" w:cs="Arial"/>
          <w:lang w:val="es"/>
        </w:rPr>
        <w:t xml:space="preserve"> en las partidas de: Superavit por Revaluación por ¢55.145 millones, es decir un 24%, esta partida cuyo saldo a diciembre 2018 es por ¢284.853 millones representa el 39% del total del Patrimonio Neto lo cual es producto de la revaluación del Activo de Propiedad, Planta y Equipo que a la vez es el activo más importante (93% del Activo Total). La cuenta de Aportes del Estado decrece ¢22.990 millones (27%) producto del cambio en la política contable del registro de las donaciones recibidas, las Cuentas Control Programas Inversión aumentan ¢464 millones (118%); la cuenta de Patrimonio por Resultados aumenta ¢23.263 millones (7%). </w:t>
      </w:r>
    </w:p>
    <w:p w14:paraId="56A0F1A1" w14:textId="77777777" w:rsidR="0083271E" w:rsidRDefault="0083271E" w:rsidP="0083271E">
      <w:pPr>
        <w:pStyle w:val="Textoindependiente"/>
        <w:tabs>
          <w:tab w:val="left" w:pos="4140"/>
        </w:tabs>
        <w:rPr>
          <w:rFonts w:asciiTheme="minorHAnsi" w:eastAsiaTheme="minorHAnsi" w:hAnsiTheme="minorHAnsi" w:cstheme="minorBidi"/>
          <w:kern w:val="0"/>
          <w:sz w:val="22"/>
          <w:szCs w:val="22"/>
          <w:lang w:eastAsia="en-US"/>
        </w:rPr>
      </w:pPr>
    </w:p>
    <w:p w14:paraId="77629569" w14:textId="77777777" w:rsidR="007F5154" w:rsidRDefault="007F5154" w:rsidP="0083271E">
      <w:pPr>
        <w:pStyle w:val="Textoindependiente"/>
        <w:tabs>
          <w:tab w:val="left" w:pos="4140"/>
        </w:tabs>
        <w:rPr>
          <w:rFonts w:ascii="Arial" w:hAnsi="Arial" w:cs="Arial"/>
          <w:sz w:val="22"/>
          <w:szCs w:val="22"/>
        </w:rPr>
      </w:pPr>
    </w:p>
    <w:p w14:paraId="1C0ADAE0" w14:textId="77777777" w:rsidR="007F5154" w:rsidRDefault="007F5154" w:rsidP="0083271E">
      <w:pPr>
        <w:pStyle w:val="Textoindependiente"/>
        <w:tabs>
          <w:tab w:val="left" w:pos="4140"/>
        </w:tabs>
        <w:rPr>
          <w:rFonts w:ascii="Arial" w:hAnsi="Arial" w:cs="Arial"/>
          <w:sz w:val="22"/>
          <w:szCs w:val="22"/>
        </w:rPr>
      </w:pPr>
    </w:p>
    <w:p w14:paraId="677B956B" w14:textId="77777777" w:rsidR="00DA6685" w:rsidRDefault="00DA6685" w:rsidP="00DA6685">
      <w:pPr>
        <w:pStyle w:val="Textoindependiente"/>
        <w:tabs>
          <w:tab w:val="left" w:pos="4140"/>
        </w:tabs>
        <w:jc w:val="right"/>
        <w:rPr>
          <w:rFonts w:ascii="Arial" w:hAnsi="Arial" w:cs="Arial"/>
          <w:sz w:val="22"/>
          <w:szCs w:val="22"/>
        </w:rPr>
      </w:pPr>
      <w:r>
        <w:rPr>
          <w:rFonts w:ascii="Arial" w:hAnsi="Arial" w:cs="Arial"/>
          <w:sz w:val="22"/>
          <w:szCs w:val="22"/>
        </w:rPr>
        <w:t>7</w:t>
      </w:r>
    </w:p>
    <w:p w14:paraId="0B20261B" w14:textId="77777777" w:rsidR="0083271E" w:rsidRDefault="0083271E" w:rsidP="0083271E">
      <w:pPr>
        <w:pStyle w:val="Textoindependiente"/>
        <w:tabs>
          <w:tab w:val="left" w:pos="4140"/>
        </w:tabs>
        <w:rPr>
          <w:rFonts w:ascii="Arial" w:hAnsi="Arial" w:cs="Arial"/>
          <w:b/>
          <w:sz w:val="22"/>
        </w:rPr>
      </w:pPr>
      <w:r>
        <w:rPr>
          <w:rFonts w:ascii="Arial" w:hAnsi="Arial" w:cs="Arial"/>
          <w:sz w:val="22"/>
          <w:szCs w:val="22"/>
        </w:rPr>
        <w:lastRenderedPageBreak/>
        <w:t>En la tabla 1 se muestra un resumen comparativo del Estado de Situación Financiera al 31 de diciembre 2017-2018. Asimismo, en los gráficos N° 1 y 2 se muestra la composición del Activo, así como el Pasivo y Patrimonio para los mismos períodos.</w:t>
      </w:r>
    </w:p>
    <w:p w14:paraId="6B62936D" w14:textId="77777777" w:rsidR="0083271E" w:rsidRDefault="0083271E" w:rsidP="0083271E">
      <w:r>
        <w:rPr>
          <w:rFonts w:ascii="Arial" w:hAnsi="Arial" w:cs="Arial"/>
          <w:b/>
        </w:rPr>
        <w:t>Tabla 1</w:t>
      </w:r>
    </w:p>
    <w:p w14:paraId="3FBEB096" w14:textId="77777777" w:rsidR="0083271E" w:rsidRDefault="0083271E" w:rsidP="0083271E">
      <w:pPr>
        <w:rPr>
          <w:rFonts w:ascii="Arial" w:hAnsi="Arial" w:cs="Arial"/>
          <w:b/>
        </w:rPr>
      </w:pPr>
      <w:r>
        <w:rPr>
          <w:noProof/>
          <w:lang w:eastAsia="es-CR"/>
        </w:rPr>
        <w:drawing>
          <wp:anchor distT="0" distB="0" distL="114300" distR="114300" simplePos="0" relativeHeight="251807744" behindDoc="0" locked="0" layoutInCell="1" allowOverlap="1" wp14:anchorId="2F040DDD" wp14:editId="4994ABBB">
            <wp:simplePos x="0" y="0"/>
            <wp:positionH relativeFrom="column">
              <wp:posOffset>28575</wp:posOffset>
            </wp:positionH>
            <wp:positionV relativeFrom="paragraph">
              <wp:posOffset>236220</wp:posOffset>
            </wp:positionV>
            <wp:extent cx="5565775" cy="3493770"/>
            <wp:effectExtent l="0" t="0" r="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5775" cy="3493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894B3A" w14:textId="77777777" w:rsidR="0083271E" w:rsidRDefault="0083271E" w:rsidP="0083271E">
      <w:pPr>
        <w:rPr>
          <w:rFonts w:ascii="Arial" w:hAnsi="Arial" w:cs="Arial"/>
        </w:rPr>
      </w:pPr>
    </w:p>
    <w:p w14:paraId="5B17B6A7" w14:textId="77777777" w:rsidR="0083271E" w:rsidRDefault="0083271E" w:rsidP="0083271E">
      <w:pPr>
        <w:tabs>
          <w:tab w:val="left" w:pos="0"/>
        </w:tabs>
        <w:rPr>
          <w:rFonts w:ascii="Arial" w:hAnsi="Arial" w:cs="Arial"/>
        </w:rPr>
      </w:pPr>
    </w:p>
    <w:p w14:paraId="37C7028E" w14:textId="77777777" w:rsidR="0083271E" w:rsidRDefault="0083271E" w:rsidP="0083271E">
      <w:pPr>
        <w:tabs>
          <w:tab w:val="left" w:pos="0"/>
        </w:tabs>
        <w:rPr>
          <w:rFonts w:ascii="Arial" w:hAnsi="Arial" w:cs="Arial"/>
        </w:rPr>
      </w:pPr>
    </w:p>
    <w:p w14:paraId="68B9CBEA" w14:textId="77777777" w:rsidR="0083271E" w:rsidRDefault="0083271E" w:rsidP="0083271E">
      <w:pPr>
        <w:pStyle w:val="Ttulo2"/>
        <w:tabs>
          <w:tab w:val="left" w:pos="0"/>
        </w:tabs>
        <w:rPr>
          <w:rFonts w:ascii="Arial" w:hAnsi="Arial" w:cs="Arial"/>
          <w:sz w:val="22"/>
        </w:rPr>
      </w:pPr>
    </w:p>
    <w:p w14:paraId="3AD0B10A" w14:textId="77777777" w:rsidR="0083271E" w:rsidRDefault="0083271E" w:rsidP="0083271E">
      <w:pPr>
        <w:pStyle w:val="Ttulo2"/>
        <w:tabs>
          <w:tab w:val="left" w:pos="0"/>
        </w:tabs>
        <w:rPr>
          <w:rFonts w:ascii="Arial" w:hAnsi="Arial" w:cs="Arial"/>
          <w:sz w:val="22"/>
        </w:rPr>
      </w:pPr>
    </w:p>
    <w:p w14:paraId="7324AF16" w14:textId="77777777" w:rsidR="0083271E" w:rsidRDefault="0083271E" w:rsidP="0083271E">
      <w:pPr>
        <w:rPr>
          <w:rFonts w:ascii="Arial" w:eastAsiaTheme="majorEastAsia" w:hAnsi="Arial" w:cs="Arial"/>
          <w:color w:val="2E74B5" w:themeColor="accent1" w:themeShade="BF"/>
          <w:szCs w:val="26"/>
        </w:rPr>
      </w:pPr>
    </w:p>
    <w:p w14:paraId="615DD2C1" w14:textId="77777777" w:rsidR="007F5154" w:rsidRPr="00423E9F" w:rsidRDefault="00DA6685" w:rsidP="00DA6685">
      <w:pPr>
        <w:jc w:val="right"/>
      </w:pPr>
      <w:r>
        <w:t>8</w:t>
      </w:r>
    </w:p>
    <w:p w14:paraId="676B2860" w14:textId="77777777" w:rsidR="0083271E" w:rsidRPr="0083271E" w:rsidRDefault="0083271E" w:rsidP="0083271E">
      <w:pPr>
        <w:pStyle w:val="Ttulo2"/>
        <w:tabs>
          <w:tab w:val="left" w:pos="0"/>
        </w:tabs>
        <w:rPr>
          <w:rFonts w:ascii="Arial" w:hAnsi="Arial" w:cs="Arial"/>
          <w:b/>
          <w:color w:val="000000" w:themeColor="text1"/>
          <w:sz w:val="22"/>
        </w:rPr>
      </w:pPr>
      <w:r w:rsidRPr="0083271E">
        <w:rPr>
          <w:rFonts w:ascii="Arial" w:hAnsi="Arial" w:cs="Arial"/>
          <w:b/>
          <w:color w:val="000000" w:themeColor="text1"/>
          <w:sz w:val="22"/>
        </w:rPr>
        <w:lastRenderedPageBreak/>
        <w:t>Estado de Resultados</w:t>
      </w:r>
    </w:p>
    <w:p w14:paraId="14F8EB28" w14:textId="77777777" w:rsidR="0083271E" w:rsidRPr="0083271E" w:rsidRDefault="0083271E" w:rsidP="0083271E">
      <w:pPr>
        <w:pStyle w:val="Ttulo2"/>
        <w:tabs>
          <w:tab w:val="left" w:pos="0"/>
        </w:tabs>
        <w:jc w:val="center"/>
        <w:rPr>
          <w:rFonts w:ascii="Arial" w:hAnsi="Arial" w:cs="Arial"/>
          <w:b/>
          <w:bCs/>
          <w:color w:val="000000" w:themeColor="text1"/>
          <w:sz w:val="22"/>
          <w:szCs w:val="22"/>
        </w:rPr>
      </w:pPr>
      <w:r>
        <w:rPr>
          <w:rFonts w:ascii="Arial" w:hAnsi="Arial" w:cs="Arial"/>
          <w:sz w:val="22"/>
        </w:rPr>
        <w:t xml:space="preserve">       </w:t>
      </w:r>
      <w:r w:rsidRPr="0083271E">
        <w:rPr>
          <w:rFonts w:ascii="Arial" w:hAnsi="Arial" w:cs="Arial"/>
          <w:b/>
          <w:color w:val="000000" w:themeColor="text1"/>
          <w:sz w:val="22"/>
        </w:rPr>
        <w:t>Gráfico 3</w:t>
      </w:r>
    </w:p>
    <w:p w14:paraId="2C620FCF" w14:textId="77777777" w:rsidR="0083271E" w:rsidRDefault="0083271E" w:rsidP="00AC0A7D">
      <w:pPr>
        <w:tabs>
          <w:tab w:val="left" w:pos="4140"/>
        </w:tabs>
        <w:spacing w:before="0" w:beforeAutospacing="0" w:after="0" w:afterAutospacing="0" w:line="240" w:lineRule="auto"/>
        <w:rPr>
          <w:rFonts w:ascii="Arial" w:hAnsi="Arial" w:cs="Arial"/>
        </w:rPr>
      </w:pPr>
      <w:r>
        <w:rPr>
          <w:noProof/>
          <w:lang w:eastAsia="es-CR"/>
        </w:rPr>
        <w:drawing>
          <wp:anchor distT="0" distB="0" distL="114300" distR="114300" simplePos="0" relativeHeight="251808768" behindDoc="0" locked="0" layoutInCell="1" allowOverlap="1" wp14:anchorId="678CF39B" wp14:editId="256A76DF">
            <wp:simplePos x="0" y="0"/>
            <wp:positionH relativeFrom="column">
              <wp:posOffset>2516505</wp:posOffset>
            </wp:positionH>
            <wp:positionV relativeFrom="paragraph">
              <wp:posOffset>145415</wp:posOffset>
            </wp:positionV>
            <wp:extent cx="3314700" cy="2078355"/>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4700" cy="20783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Al cierre de diciembre 2018 el Estado de Resultados muestra un </w:t>
      </w:r>
      <w:r>
        <w:rPr>
          <w:rFonts w:ascii="Arial" w:hAnsi="Arial" w:cs="Arial"/>
          <w:b/>
          <w:bCs/>
        </w:rPr>
        <w:t>ascenso</w:t>
      </w:r>
      <w:r>
        <w:rPr>
          <w:rFonts w:ascii="Arial" w:hAnsi="Arial" w:cs="Arial"/>
        </w:rPr>
        <w:t xml:space="preserve"> en los ingresos por servicios de ¢13.931 millones (10%) en relación al periodo 2017, en el caso de acueducto y alcantarillado, las tarifas vigentes rigen a partir del 01 de julio 2016, m</w:t>
      </w:r>
      <w:r>
        <w:rPr>
          <w:rFonts w:ascii="Arial" w:eastAsia="ArialMT" w:hAnsi="Arial" w:cs="Arial"/>
        </w:rPr>
        <w:t xml:space="preserve">ediante RIA-007-2016 del 29 de junio del 2016, que fue del 7.41% para Acueducto y para el Servicio de Alcantarillado un 17.64%.  </w:t>
      </w:r>
    </w:p>
    <w:p w14:paraId="49054D78" w14:textId="77777777" w:rsidR="0083271E" w:rsidRDefault="0083271E" w:rsidP="0083271E">
      <w:pPr>
        <w:tabs>
          <w:tab w:val="left" w:pos="4140"/>
        </w:tabs>
        <w:spacing w:before="0" w:beforeAutospacing="0" w:after="0" w:afterAutospacing="0" w:line="240" w:lineRule="auto"/>
        <w:rPr>
          <w:rFonts w:ascii="Arial" w:hAnsi="Arial" w:cs="Arial"/>
        </w:rPr>
      </w:pPr>
      <w:r>
        <w:rPr>
          <w:rFonts w:ascii="Arial" w:hAnsi="Arial" w:cs="Arial"/>
        </w:rPr>
        <w:t>Posteriormente con la resolución RIA-002-2016 del 03 de febrero del 2016, la ARESEP aprueba un aumento tarifario para el Servicio de Hidrantes, el aumento será escalonado a partir del 2016 y hasta el año 2020, iniciando en el año 2016 con un aumento de ¢1.5, ¢3.5 en el 2017, y ¢2 del 2018 al 2020, hasta alcanzar una tarifa de ¢26 por metro cúbico.</w:t>
      </w:r>
    </w:p>
    <w:p w14:paraId="6B79C331" w14:textId="77777777" w:rsidR="00AC0A7D" w:rsidRDefault="00AC0A7D" w:rsidP="0083271E">
      <w:pPr>
        <w:rPr>
          <w:rFonts w:ascii="Arial" w:hAnsi="Arial" w:cs="Arial"/>
          <w:b/>
          <w:bCs/>
          <w:lang w:val="es-ES"/>
        </w:rPr>
      </w:pPr>
    </w:p>
    <w:p w14:paraId="39421D65" w14:textId="77777777" w:rsidR="0083271E" w:rsidRDefault="0083271E" w:rsidP="0083271E">
      <w:pPr>
        <w:rPr>
          <w:rFonts w:ascii="Arial" w:hAnsi="Arial" w:cs="Arial"/>
          <w:szCs w:val="20"/>
          <w:lang w:val="es-ES"/>
        </w:rPr>
      </w:pPr>
      <w:r>
        <w:rPr>
          <w:rFonts w:ascii="Arial" w:hAnsi="Arial" w:cs="Arial"/>
          <w:b/>
          <w:bCs/>
          <w:lang w:val="es-ES"/>
        </w:rPr>
        <w:t>Gráfico 4</w:t>
      </w:r>
    </w:p>
    <w:p w14:paraId="386E896D" w14:textId="77777777" w:rsidR="0083271E" w:rsidRDefault="0083271E" w:rsidP="0083271E">
      <w:pPr>
        <w:rPr>
          <w:rFonts w:ascii="Arial" w:hAnsi="Arial" w:cs="Arial"/>
          <w:szCs w:val="20"/>
          <w:lang w:val="es-ES"/>
        </w:rPr>
      </w:pPr>
      <w:r>
        <w:rPr>
          <w:noProof/>
          <w:lang w:eastAsia="es-CR"/>
        </w:rPr>
        <w:drawing>
          <wp:anchor distT="0" distB="0" distL="114300" distR="114300" simplePos="0" relativeHeight="251809792" behindDoc="1" locked="0" layoutInCell="1" allowOverlap="1" wp14:anchorId="005F22A1" wp14:editId="5CC03741">
            <wp:simplePos x="0" y="0"/>
            <wp:positionH relativeFrom="column">
              <wp:posOffset>-15240</wp:posOffset>
            </wp:positionH>
            <wp:positionV relativeFrom="paragraph">
              <wp:posOffset>145415</wp:posOffset>
            </wp:positionV>
            <wp:extent cx="3341370" cy="2191385"/>
            <wp:effectExtent l="0" t="0" r="0" b="0"/>
            <wp:wrapTight wrapText="bothSides">
              <wp:wrapPolygon edited="0">
                <wp:start x="123" y="0"/>
                <wp:lineTo x="0" y="188"/>
                <wp:lineTo x="0" y="21406"/>
                <wp:lineTo x="21304" y="21406"/>
                <wp:lineTo x="21428" y="21030"/>
                <wp:lineTo x="21428" y="376"/>
                <wp:lineTo x="21181" y="0"/>
                <wp:lineTo x="123"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1370" cy="2191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AFD5B" w14:textId="77777777" w:rsidR="00AC0A7D" w:rsidRDefault="0083271E" w:rsidP="00AC0A7D">
      <w:pPr>
        <w:tabs>
          <w:tab w:val="left" w:pos="0"/>
        </w:tabs>
        <w:spacing w:before="0" w:beforeAutospacing="0" w:after="0" w:afterAutospacing="0" w:line="240" w:lineRule="auto"/>
        <w:rPr>
          <w:rFonts w:ascii="Arial" w:hAnsi="Arial" w:cs="Arial"/>
        </w:rPr>
      </w:pPr>
      <w:r>
        <w:rPr>
          <w:rFonts w:ascii="Arial" w:hAnsi="Arial" w:cs="Arial"/>
        </w:rPr>
        <w:t xml:space="preserve">La cuenta de </w:t>
      </w:r>
      <w:r>
        <w:rPr>
          <w:rFonts w:ascii="Arial" w:hAnsi="Arial" w:cs="Arial"/>
          <w:b/>
          <w:bCs/>
        </w:rPr>
        <w:t xml:space="preserve">Servicios Personales </w:t>
      </w:r>
      <w:r>
        <w:rPr>
          <w:rFonts w:ascii="Arial" w:hAnsi="Arial" w:cs="Arial"/>
        </w:rPr>
        <w:t xml:space="preserve">presenta un </w:t>
      </w:r>
      <w:r>
        <w:rPr>
          <w:rFonts w:ascii="Arial" w:hAnsi="Arial" w:cs="Arial"/>
          <w:b/>
          <w:bCs/>
        </w:rPr>
        <w:t>incremento</w:t>
      </w:r>
      <w:r>
        <w:rPr>
          <w:rFonts w:ascii="Arial" w:hAnsi="Arial" w:cs="Arial"/>
        </w:rPr>
        <w:t xml:space="preserve"> de ¢1.677</w:t>
      </w:r>
      <w:r>
        <w:rPr>
          <w:rFonts w:ascii="Arial" w:hAnsi="Arial" w:cs="Arial"/>
          <w:b/>
          <w:bCs/>
        </w:rPr>
        <w:t xml:space="preserve"> </w:t>
      </w:r>
      <w:r w:rsidRPr="00DC0C1D">
        <w:rPr>
          <w:rFonts w:ascii="Arial" w:hAnsi="Arial" w:cs="Arial"/>
          <w:bCs/>
        </w:rPr>
        <w:t>millones</w:t>
      </w:r>
      <w:r>
        <w:rPr>
          <w:rFonts w:ascii="Arial" w:hAnsi="Arial" w:cs="Arial"/>
        </w:rPr>
        <w:t xml:space="preserve"> (3%), ya que pasa de ¢54.639 millones en el 2017 a ¢56.316 millones en el 2018 </w:t>
      </w:r>
      <w:r>
        <w:rPr>
          <w:rFonts w:ascii="Arial" w:hAnsi="Arial" w:cs="Arial"/>
          <w:lang w:val="es-ES"/>
        </w:rPr>
        <w:t>debido al aumento de salarios por costo de vida</w:t>
      </w:r>
      <w:r>
        <w:rPr>
          <w:rFonts w:ascii="Arial" w:hAnsi="Arial" w:cs="Arial"/>
          <w:shd w:val="clear" w:color="auto" w:fill="FFFFFF"/>
          <w:lang w:val="es-ES"/>
        </w:rPr>
        <w:t xml:space="preserve"> y al crecimiento de plazas tanto en propiedad como de servicios especiales. </w:t>
      </w:r>
      <w:r>
        <w:rPr>
          <w:rFonts w:ascii="Arial" w:hAnsi="Arial" w:cs="Arial"/>
        </w:rPr>
        <w:t xml:space="preserve"> </w:t>
      </w:r>
    </w:p>
    <w:p w14:paraId="6BF64EF8" w14:textId="77777777" w:rsidR="00AC0A7D" w:rsidRDefault="00AC0A7D" w:rsidP="00AC0A7D">
      <w:pPr>
        <w:tabs>
          <w:tab w:val="left" w:pos="0"/>
        </w:tabs>
        <w:spacing w:before="0" w:beforeAutospacing="0" w:after="0" w:afterAutospacing="0" w:line="240" w:lineRule="auto"/>
        <w:rPr>
          <w:rFonts w:ascii="Arial" w:hAnsi="Arial" w:cs="Arial"/>
        </w:rPr>
      </w:pPr>
    </w:p>
    <w:p w14:paraId="634061CC" w14:textId="77777777" w:rsidR="00AC0A7D" w:rsidRDefault="00AC0A7D" w:rsidP="00AC0A7D">
      <w:pPr>
        <w:tabs>
          <w:tab w:val="left" w:pos="0"/>
        </w:tabs>
        <w:spacing w:before="0" w:beforeAutospacing="0" w:after="0" w:afterAutospacing="0" w:line="240" w:lineRule="auto"/>
        <w:rPr>
          <w:rFonts w:ascii="Arial" w:hAnsi="Arial" w:cs="Arial"/>
        </w:rPr>
      </w:pPr>
    </w:p>
    <w:p w14:paraId="37F4C9EB" w14:textId="77777777" w:rsidR="0083271E" w:rsidRPr="00AC0A7D" w:rsidRDefault="0083271E" w:rsidP="00AC0A7D">
      <w:pPr>
        <w:tabs>
          <w:tab w:val="left" w:pos="0"/>
        </w:tabs>
        <w:spacing w:before="0" w:beforeAutospacing="0" w:after="0" w:afterAutospacing="0" w:line="240" w:lineRule="auto"/>
        <w:rPr>
          <w:rFonts w:ascii="Arial" w:hAnsi="Arial" w:cs="Arial"/>
        </w:rPr>
      </w:pPr>
      <w:r>
        <w:rPr>
          <w:rFonts w:ascii="Arial" w:hAnsi="Arial" w:cs="Arial"/>
        </w:rPr>
        <w:t xml:space="preserve">         </w:t>
      </w:r>
    </w:p>
    <w:p w14:paraId="44F30B0C" w14:textId="77777777" w:rsidR="00AC0A7D" w:rsidRDefault="00AC0A7D" w:rsidP="00AC0A7D">
      <w:pPr>
        <w:tabs>
          <w:tab w:val="left" w:pos="0"/>
        </w:tabs>
        <w:spacing w:before="0" w:beforeAutospacing="0" w:after="0" w:afterAutospacing="0" w:line="240" w:lineRule="auto"/>
        <w:rPr>
          <w:rFonts w:ascii="Arial" w:hAnsi="Arial" w:cs="Arial"/>
          <w:shd w:val="clear" w:color="auto" w:fill="FFFFFF"/>
          <w:lang w:val="es-ES"/>
        </w:rPr>
      </w:pPr>
    </w:p>
    <w:p w14:paraId="3AFB9A8F" w14:textId="77777777" w:rsidR="001F3F23" w:rsidRDefault="001F3F23" w:rsidP="001F3F23">
      <w:pPr>
        <w:tabs>
          <w:tab w:val="left" w:pos="0"/>
        </w:tabs>
        <w:spacing w:before="0" w:beforeAutospacing="0" w:after="0" w:afterAutospacing="0" w:line="240" w:lineRule="auto"/>
        <w:jc w:val="right"/>
        <w:rPr>
          <w:rFonts w:ascii="Arial" w:hAnsi="Arial" w:cs="Arial"/>
          <w:shd w:val="clear" w:color="auto" w:fill="FFFFFF"/>
          <w:lang w:val="es-ES"/>
        </w:rPr>
      </w:pPr>
      <w:r>
        <w:rPr>
          <w:rFonts w:ascii="Arial" w:hAnsi="Arial" w:cs="Arial"/>
          <w:shd w:val="clear" w:color="auto" w:fill="FFFFFF"/>
          <w:lang w:val="es-ES"/>
        </w:rPr>
        <w:t>9</w:t>
      </w:r>
    </w:p>
    <w:p w14:paraId="61653990" w14:textId="77777777" w:rsidR="0083271E" w:rsidRDefault="0083271E" w:rsidP="00AC0A7D">
      <w:pPr>
        <w:tabs>
          <w:tab w:val="left" w:pos="0"/>
        </w:tabs>
        <w:spacing w:before="0" w:beforeAutospacing="0" w:after="0" w:afterAutospacing="0" w:line="240" w:lineRule="auto"/>
      </w:pPr>
      <w:r>
        <w:rPr>
          <w:rFonts w:ascii="Arial" w:hAnsi="Arial" w:cs="Arial"/>
          <w:shd w:val="clear" w:color="auto" w:fill="FFFFFF"/>
          <w:lang w:val="es-ES"/>
        </w:rPr>
        <w:lastRenderedPageBreak/>
        <w:t xml:space="preserve">El grupo de cuentas de </w:t>
      </w:r>
      <w:r>
        <w:rPr>
          <w:rFonts w:ascii="Arial" w:hAnsi="Arial" w:cs="Arial"/>
          <w:b/>
          <w:bCs/>
          <w:shd w:val="clear" w:color="auto" w:fill="FFFFFF"/>
          <w:lang w:val="es-ES"/>
        </w:rPr>
        <w:t>Servicios no Personales</w:t>
      </w:r>
      <w:r>
        <w:rPr>
          <w:rFonts w:ascii="Arial" w:hAnsi="Arial" w:cs="Arial"/>
          <w:shd w:val="clear" w:color="auto" w:fill="FFFFFF"/>
          <w:lang w:val="es-ES"/>
        </w:rPr>
        <w:t xml:space="preserve"> </w:t>
      </w:r>
      <w:r>
        <w:rPr>
          <w:rFonts w:ascii="Arial" w:hAnsi="Arial" w:cs="Arial"/>
          <w:b/>
          <w:bCs/>
          <w:shd w:val="clear" w:color="auto" w:fill="FFFFFF"/>
          <w:lang w:val="es-ES"/>
        </w:rPr>
        <w:t>aumenta</w:t>
      </w:r>
      <w:r>
        <w:rPr>
          <w:rFonts w:ascii="Arial" w:hAnsi="Arial" w:cs="Arial"/>
          <w:shd w:val="clear" w:color="auto" w:fill="FFFFFF"/>
          <w:lang w:val="es-ES"/>
        </w:rPr>
        <w:t xml:space="preserve"> en ¢1.947 millones, es decir un 4%, los movimientos entre dichas cuentas son: Gastos de viaje y transporte decrece ¢43 millones (2%), Alquileres aumenta ¢94 millones (2%), Servicios Públicos sufre un alza de ¢898 millones (7%); Reparación y mantenimiento presenta un descenso por ¢218 millones (3%); Cánones decrece ¢68 millones (2%), las Consultorías crecen ¢1.548 millones (85%), dentro de este rubro están las siguientes consultorías que representan las de mayor valor, pagadas en el 2018: </w:t>
      </w:r>
      <w:r w:rsidRPr="001E2A90">
        <w:rPr>
          <w:rFonts w:ascii="Arial" w:hAnsi="Arial" w:cs="Arial"/>
          <w:b/>
          <w:i/>
          <w:shd w:val="clear" w:color="auto" w:fill="FFFFFF"/>
          <w:lang w:val="es-ES"/>
        </w:rPr>
        <w:t>a)</w:t>
      </w:r>
      <w:r>
        <w:rPr>
          <w:rFonts w:ascii="Arial" w:hAnsi="Arial" w:cs="Arial"/>
          <w:shd w:val="clear" w:color="auto" w:fill="FFFFFF"/>
          <w:lang w:val="es-ES"/>
        </w:rPr>
        <w:t xml:space="preserve"> </w:t>
      </w:r>
      <w:r w:rsidRPr="001E2A90">
        <w:rPr>
          <w:rFonts w:ascii="Arial" w:hAnsi="Arial" w:cs="Arial"/>
          <w:i/>
          <w:shd w:val="clear" w:color="auto" w:fill="FFFFFF"/>
          <w:lang w:val="es-ES"/>
        </w:rPr>
        <w:t>Diseño del edificio de la GAM</w:t>
      </w:r>
      <w:r>
        <w:rPr>
          <w:rFonts w:ascii="Arial" w:hAnsi="Arial" w:cs="Arial"/>
          <w:shd w:val="clear" w:color="auto" w:fill="FFFFFF"/>
          <w:lang w:val="es-ES"/>
        </w:rPr>
        <w:t xml:space="preserve"> ¢1.001 millones, </w:t>
      </w:r>
      <w:r w:rsidRPr="001E2A90">
        <w:rPr>
          <w:rFonts w:ascii="Arial" w:hAnsi="Arial" w:cs="Arial"/>
          <w:b/>
          <w:i/>
          <w:shd w:val="clear" w:color="auto" w:fill="FFFFFF"/>
          <w:lang w:val="es-ES"/>
        </w:rPr>
        <w:t>b)</w:t>
      </w:r>
      <w:r w:rsidRPr="001E2A90">
        <w:rPr>
          <w:rFonts w:ascii="Arial" w:hAnsi="Arial" w:cs="Arial"/>
          <w:i/>
          <w:shd w:val="clear" w:color="auto" w:fill="FFFFFF"/>
          <w:lang w:val="es-ES"/>
        </w:rPr>
        <w:t xml:space="preserve"> Análisis de la plataforma tecnológica de AyA</w:t>
      </w:r>
      <w:r>
        <w:rPr>
          <w:rFonts w:ascii="Arial" w:hAnsi="Arial" w:cs="Arial"/>
          <w:shd w:val="clear" w:color="auto" w:fill="FFFFFF"/>
          <w:lang w:val="es-ES"/>
        </w:rPr>
        <w:t xml:space="preserve"> ¢141.35 millones. </w:t>
      </w:r>
      <w:r w:rsidRPr="001E2A90">
        <w:rPr>
          <w:rFonts w:ascii="Arial" w:hAnsi="Arial" w:cs="Arial"/>
          <w:b/>
          <w:i/>
          <w:shd w:val="clear" w:color="auto" w:fill="FFFFFF"/>
          <w:lang w:val="es-ES"/>
        </w:rPr>
        <w:t>c)</w:t>
      </w:r>
      <w:r w:rsidRPr="001E2A90">
        <w:rPr>
          <w:rFonts w:ascii="Arial" w:hAnsi="Arial" w:cs="Arial"/>
          <w:i/>
          <w:shd w:val="clear" w:color="auto" w:fill="FFFFFF"/>
          <w:lang w:val="es-ES"/>
        </w:rPr>
        <w:t xml:space="preserve"> Estudio de inspección electromecánica</w:t>
      </w:r>
      <w:r>
        <w:rPr>
          <w:rFonts w:ascii="Arial" w:hAnsi="Arial" w:cs="Arial"/>
          <w:shd w:val="clear" w:color="auto" w:fill="FFFFFF"/>
          <w:lang w:val="es-ES"/>
        </w:rPr>
        <w:t xml:space="preserve"> ¢180.04 millones; </w:t>
      </w:r>
      <w:r w:rsidRPr="001E2A90">
        <w:rPr>
          <w:rFonts w:ascii="Arial" w:hAnsi="Arial" w:cs="Arial"/>
          <w:b/>
          <w:i/>
          <w:shd w:val="clear" w:color="auto" w:fill="FFFFFF"/>
          <w:lang w:val="es-ES"/>
        </w:rPr>
        <w:t>d)</w:t>
      </w:r>
      <w:r w:rsidRPr="001E2A90">
        <w:rPr>
          <w:rFonts w:ascii="Arial" w:hAnsi="Arial" w:cs="Arial"/>
          <w:i/>
          <w:shd w:val="clear" w:color="auto" w:fill="FFFFFF"/>
          <w:lang w:val="es-ES"/>
        </w:rPr>
        <w:t xml:space="preserve"> Diagnóstico de ASADAS para fortalecer sus capacidades y lograr que brinden un mejor servicio</w:t>
      </w:r>
      <w:r>
        <w:rPr>
          <w:rFonts w:ascii="Arial" w:hAnsi="Arial" w:cs="Arial"/>
          <w:shd w:val="clear" w:color="auto" w:fill="FFFFFF"/>
          <w:lang w:val="es-ES"/>
        </w:rPr>
        <w:t xml:space="preserve"> ¢263.26 millones, </w:t>
      </w:r>
      <w:r w:rsidRPr="001E2A90">
        <w:rPr>
          <w:rFonts w:ascii="Arial" w:hAnsi="Arial" w:cs="Arial"/>
          <w:b/>
          <w:i/>
          <w:shd w:val="clear" w:color="auto" w:fill="FFFFFF"/>
          <w:lang w:val="es-ES"/>
        </w:rPr>
        <w:t>e)</w:t>
      </w:r>
      <w:r w:rsidRPr="001E2A90">
        <w:rPr>
          <w:rFonts w:ascii="Arial" w:hAnsi="Arial" w:cs="Arial"/>
          <w:i/>
          <w:shd w:val="clear" w:color="auto" w:fill="FFFFFF"/>
          <w:lang w:val="es-ES"/>
        </w:rPr>
        <w:t xml:space="preserve"> Mantenimiento y Desarrollo de Sistemas</w:t>
      </w:r>
      <w:r>
        <w:rPr>
          <w:rFonts w:ascii="Arial" w:hAnsi="Arial" w:cs="Arial"/>
          <w:shd w:val="clear" w:color="auto" w:fill="FFFFFF"/>
          <w:lang w:val="es-ES"/>
        </w:rPr>
        <w:t xml:space="preserve"> (incluye el de facturación electrónica) ¢344.87 millones. La cuenta de Publicidad disminuye ¢296 millones (24%), Seguros decrece ¢43 millones (11%), Otros servicios públicos baja ¢18 millones (17%), los Servicios Contratados se reducen en ¢169 millones (2%); finalmente los Otros Servicios no personales registran un incremento por ¢264 millones (33%)</w:t>
      </w:r>
    </w:p>
    <w:p w14:paraId="035E2C72" w14:textId="77777777" w:rsidR="0083271E" w:rsidRDefault="0083271E" w:rsidP="0083271E">
      <w:pPr>
        <w:pStyle w:val="NormalWeb"/>
        <w:spacing w:line="102" w:lineRule="atLeast"/>
        <w:rPr>
          <w:rFonts w:ascii="Arial" w:hAnsi="Arial" w:cs="Arial"/>
          <w:sz w:val="22"/>
          <w:szCs w:val="24"/>
          <w:lang w:val="es-CR"/>
        </w:rPr>
      </w:pPr>
      <w:r>
        <w:rPr>
          <w:rFonts w:ascii="Arial" w:hAnsi="Arial" w:cs="Arial"/>
          <w:sz w:val="22"/>
          <w:szCs w:val="24"/>
          <w:lang w:val="es-CR"/>
        </w:rPr>
        <w:t xml:space="preserve">El grupo de cuentas de </w:t>
      </w:r>
      <w:r>
        <w:rPr>
          <w:rFonts w:ascii="Arial" w:hAnsi="Arial" w:cs="Arial"/>
          <w:b/>
          <w:bCs/>
          <w:sz w:val="22"/>
          <w:szCs w:val="24"/>
          <w:lang w:val="es-CR"/>
        </w:rPr>
        <w:t>Materiales y Suministros</w:t>
      </w:r>
      <w:r>
        <w:rPr>
          <w:rFonts w:ascii="Arial" w:hAnsi="Arial" w:cs="Arial"/>
          <w:sz w:val="22"/>
          <w:szCs w:val="24"/>
          <w:lang w:val="es-CR"/>
        </w:rPr>
        <w:t xml:space="preserve"> decrece ¢283 millones (3%) pues pasa de ¢9.006 millones en el 2017 a ¢8.723 millones en el 2018 como consecuencia del movimiento entre cuentas: Combustible aumenta ¢153 millones (14%), Productos Químicos baja ¢16 millones (1%); Materiales y Suministros aumenta ¢269 millones (5%) y la partida de Hidrómetros y Cajas que se reduce en ¢690 millones (59%).  </w:t>
      </w:r>
    </w:p>
    <w:p w14:paraId="4EDBD0CE" w14:textId="77777777" w:rsidR="0083271E" w:rsidRDefault="0083271E" w:rsidP="0083271E">
      <w:pPr>
        <w:pStyle w:val="NormalWeb"/>
        <w:spacing w:line="102" w:lineRule="atLeast"/>
        <w:rPr>
          <w:rFonts w:ascii="Arial" w:hAnsi="Arial" w:cs="Arial"/>
          <w:sz w:val="22"/>
          <w:szCs w:val="24"/>
          <w:lang w:val="es-CR"/>
        </w:rPr>
      </w:pPr>
      <w:r>
        <w:rPr>
          <w:rFonts w:ascii="Arial" w:hAnsi="Arial" w:cs="Arial"/>
          <w:sz w:val="22"/>
          <w:szCs w:val="24"/>
          <w:lang w:val="es-CR"/>
        </w:rPr>
        <w:t xml:space="preserve">Las </w:t>
      </w:r>
      <w:r>
        <w:rPr>
          <w:rFonts w:ascii="Arial" w:hAnsi="Arial" w:cs="Arial"/>
          <w:b/>
          <w:bCs/>
          <w:sz w:val="22"/>
          <w:szCs w:val="24"/>
          <w:lang w:val="es-CR"/>
        </w:rPr>
        <w:t>Transferencia Corrientes al Sector Público</w:t>
      </w:r>
      <w:r>
        <w:rPr>
          <w:rFonts w:ascii="Arial" w:hAnsi="Arial" w:cs="Arial"/>
          <w:sz w:val="22"/>
          <w:szCs w:val="24"/>
          <w:lang w:val="es-CR"/>
        </w:rPr>
        <w:t xml:space="preserve"> decrecen ¢5 millones y las </w:t>
      </w:r>
      <w:r>
        <w:rPr>
          <w:rFonts w:ascii="Arial" w:hAnsi="Arial" w:cs="Arial"/>
          <w:b/>
          <w:bCs/>
          <w:sz w:val="22"/>
          <w:szCs w:val="24"/>
          <w:lang w:val="es-CR"/>
        </w:rPr>
        <w:t>Transferencias Corrientes a Personas y Entidades</w:t>
      </w:r>
      <w:r>
        <w:rPr>
          <w:rFonts w:ascii="Arial" w:hAnsi="Arial" w:cs="Arial"/>
          <w:sz w:val="22"/>
          <w:szCs w:val="24"/>
          <w:lang w:val="es-CR"/>
        </w:rPr>
        <w:t xml:space="preserve"> bajan ¢9 millones, los </w:t>
      </w:r>
      <w:r>
        <w:rPr>
          <w:rFonts w:ascii="Arial" w:hAnsi="Arial" w:cs="Arial"/>
          <w:b/>
          <w:bCs/>
          <w:sz w:val="22"/>
          <w:szCs w:val="24"/>
          <w:lang w:val="es-CR"/>
        </w:rPr>
        <w:t>Gastos Derivados del Proceso Comercial</w:t>
      </w:r>
      <w:r>
        <w:rPr>
          <w:rFonts w:ascii="Arial" w:hAnsi="Arial" w:cs="Arial"/>
          <w:sz w:val="22"/>
          <w:szCs w:val="24"/>
          <w:lang w:val="es-CR"/>
        </w:rPr>
        <w:t xml:space="preserve"> aumenta en ¢83 millones, por otra parte, la partida de </w:t>
      </w:r>
      <w:r>
        <w:rPr>
          <w:rFonts w:ascii="Arial" w:hAnsi="Arial" w:cs="Arial"/>
          <w:b/>
          <w:bCs/>
          <w:sz w:val="22"/>
          <w:szCs w:val="24"/>
          <w:lang w:val="es-CR"/>
        </w:rPr>
        <w:t>Otros Gastos</w:t>
      </w:r>
      <w:r>
        <w:rPr>
          <w:rFonts w:ascii="Arial" w:hAnsi="Arial" w:cs="Arial"/>
          <w:sz w:val="22"/>
          <w:szCs w:val="24"/>
          <w:lang w:val="es-CR"/>
        </w:rPr>
        <w:t xml:space="preserve"> asciende ¢212 millones, fundamentalmente por el pago de licencias de software.</w:t>
      </w:r>
    </w:p>
    <w:p w14:paraId="61E63BEF" w14:textId="77777777" w:rsidR="0083271E" w:rsidRDefault="0083271E" w:rsidP="0083271E">
      <w:pPr>
        <w:pStyle w:val="NormalWeb"/>
        <w:spacing w:line="102" w:lineRule="atLeast"/>
        <w:rPr>
          <w:sz w:val="26"/>
          <w:szCs w:val="24"/>
          <w:lang w:val="es-CR"/>
        </w:rPr>
      </w:pPr>
      <w:r>
        <w:rPr>
          <w:rFonts w:ascii="Arial" w:hAnsi="Arial" w:cs="Arial"/>
          <w:sz w:val="22"/>
          <w:szCs w:val="24"/>
          <w:lang w:val="es-CR"/>
        </w:rPr>
        <w:t xml:space="preserve">La </w:t>
      </w:r>
      <w:r>
        <w:rPr>
          <w:rFonts w:ascii="Arial" w:hAnsi="Arial" w:cs="Arial"/>
          <w:b/>
          <w:bCs/>
          <w:sz w:val="22"/>
          <w:szCs w:val="24"/>
          <w:lang w:val="es-CR"/>
        </w:rPr>
        <w:t>Depreciación Total</w:t>
      </w:r>
      <w:r>
        <w:rPr>
          <w:rFonts w:ascii="Arial" w:hAnsi="Arial" w:cs="Arial"/>
          <w:sz w:val="22"/>
          <w:szCs w:val="24"/>
          <w:lang w:val="es-CR"/>
        </w:rPr>
        <w:t xml:space="preserve"> fue de ¢42.450 millones a diciembre 2017 entre tanto en el 2018 ascendió a ¢46.291 millones. Este grupo de cuentas muestra un incremento neto de ¢3.840 millones, situación que se genera por el crecimiento de ¢1.904 millones (7%) en la depreciación histórica y ¢1.936 millones (13%) de aumento en la depreciación acumulada revaluada. </w:t>
      </w:r>
    </w:p>
    <w:p w14:paraId="58963C81" w14:textId="77777777" w:rsidR="0083271E" w:rsidRDefault="0083271E" w:rsidP="0083271E">
      <w:pPr>
        <w:spacing w:line="102" w:lineRule="atLeast"/>
        <w:rPr>
          <w:rFonts w:ascii="Arial" w:hAnsi="Arial" w:cs="Arial"/>
        </w:rPr>
      </w:pPr>
      <w:r>
        <w:rPr>
          <w:rFonts w:ascii="Arial" w:hAnsi="Arial" w:cs="Arial"/>
        </w:rPr>
        <w:t xml:space="preserve">La </w:t>
      </w:r>
      <w:r>
        <w:rPr>
          <w:rFonts w:ascii="Arial" w:hAnsi="Arial" w:cs="Arial"/>
          <w:b/>
          <w:bCs/>
        </w:rPr>
        <w:t>Pérdida de Operación</w:t>
      </w:r>
      <w:r>
        <w:rPr>
          <w:rFonts w:ascii="Arial" w:hAnsi="Arial" w:cs="Arial"/>
        </w:rPr>
        <w:t xml:space="preserve"> para diciembre 2017 fue de ¢16.942 millones mientras que para diciembre 2018 la </w:t>
      </w:r>
      <w:r>
        <w:rPr>
          <w:rFonts w:ascii="Arial" w:hAnsi="Arial" w:cs="Arial"/>
          <w:b/>
          <w:bCs/>
        </w:rPr>
        <w:t xml:space="preserve">pérdida </w:t>
      </w:r>
      <w:r>
        <w:rPr>
          <w:rFonts w:ascii="Arial" w:hAnsi="Arial" w:cs="Arial"/>
        </w:rPr>
        <w:t>es por ¢8.495 millones, lo que significa una reducción en la pérdida de ¢8.447 millones, es decir un 50%.</w:t>
      </w:r>
    </w:p>
    <w:p w14:paraId="169C044C" w14:textId="77777777" w:rsidR="0083271E" w:rsidRDefault="0083271E" w:rsidP="0083271E">
      <w:pPr>
        <w:pStyle w:val="NormalWeb"/>
        <w:spacing w:before="0" w:line="102" w:lineRule="atLeast"/>
        <w:rPr>
          <w:rFonts w:ascii="Arial" w:hAnsi="Arial" w:cs="Arial"/>
          <w:b/>
          <w:bCs/>
          <w:sz w:val="22"/>
          <w:szCs w:val="24"/>
          <w:lang w:val="es-CR"/>
        </w:rPr>
      </w:pPr>
      <w:r>
        <w:rPr>
          <w:rFonts w:ascii="Arial" w:hAnsi="Arial" w:cs="Arial"/>
          <w:sz w:val="22"/>
          <w:szCs w:val="24"/>
          <w:lang w:val="es-CR"/>
        </w:rPr>
        <w:t xml:space="preserve">La Sección </w:t>
      </w:r>
      <w:r>
        <w:rPr>
          <w:rFonts w:ascii="Arial" w:hAnsi="Arial" w:cs="Arial"/>
          <w:b/>
          <w:bCs/>
          <w:sz w:val="22"/>
          <w:szCs w:val="24"/>
          <w:lang w:val="es-CR"/>
        </w:rPr>
        <w:t>Transferencias no Reembolsables a programas de inversión</w:t>
      </w:r>
      <w:r>
        <w:rPr>
          <w:rFonts w:ascii="Arial" w:hAnsi="Arial" w:cs="Arial"/>
          <w:sz w:val="22"/>
          <w:szCs w:val="24"/>
          <w:lang w:val="es-CR"/>
        </w:rPr>
        <w:t>, está sustentada en lo que señalan los párrafos 4.52 y 4.53 del Marco Conceptual de las NIIF. Esta contribución institucional como parte de la Responsabilidad Social Empresarial a diciembre 2018 asciende a ¢4.227 millones, o sea ¢1.541 millones más que el costo del 2017 que fue de ¢2.686 millones. El incremento se da en la contrapartida del programa KFW, necesario para finiquitar los proyectos de este programa dado que los desembolsos del Banco finalizaron en febrero 2018.</w:t>
      </w:r>
    </w:p>
    <w:p w14:paraId="7A5D8C81" w14:textId="77777777" w:rsidR="0083271E" w:rsidRDefault="0083271E" w:rsidP="0083271E">
      <w:pPr>
        <w:pStyle w:val="NormalWeb"/>
        <w:spacing w:before="0" w:line="102" w:lineRule="atLeast"/>
        <w:rPr>
          <w:rFonts w:ascii="Arial" w:hAnsi="Arial" w:cs="Arial"/>
          <w:b/>
          <w:bCs/>
          <w:sz w:val="22"/>
          <w:szCs w:val="24"/>
          <w:lang w:val="es-CR"/>
        </w:rPr>
      </w:pPr>
    </w:p>
    <w:p w14:paraId="71E43A34" w14:textId="77777777" w:rsidR="001F3F23" w:rsidRPr="001F3F23" w:rsidRDefault="001F3F23" w:rsidP="001F3F23">
      <w:pPr>
        <w:pStyle w:val="NormalWeb"/>
        <w:spacing w:before="0" w:line="102" w:lineRule="atLeast"/>
        <w:jc w:val="right"/>
        <w:rPr>
          <w:rFonts w:ascii="Arial" w:hAnsi="Arial" w:cs="Arial"/>
          <w:bCs/>
          <w:sz w:val="22"/>
          <w:szCs w:val="24"/>
          <w:lang w:val="es-CR"/>
        </w:rPr>
      </w:pPr>
      <w:r w:rsidRPr="001F3F23">
        <w:rPr>
          <w:rFonts w:ascii="Arial" w:hAnsi="Arial" w:cs="Arial"/>
          <w:bCs/>
          <w:sz w:val="22"/>
          <w:szCs w:val="24"/>
          <w:lang w:val="es-CR"/>
        </w:rPr>
        <w:t>10</w:t>
      </w:r>
    </w:p>
    <w:p w14:paraId="5B99DB25" w14:textId="77777777" w:rsidR="0083271E" w:rsidRDefault="0083271E" w:rsidP="0083271E">
      <w:pPr>
        <w:pStyle w:val="NormalWeb"/>
        <w:spacing w:before="0" w:line="102" w:lineRule="atLeast"/>
        <w:rPr>
          <w:rFonts w:ascii="Arial" w:hAnsi="Arial" w:cs="Arial"/>
          <w:b/>
          <w:bCs/>
          <w:sz w:val="22"/>
          <w:szCs w:val="24"/>
          <w:lang w:val="es-CR"/>
        </w:rPr>
      </w:pPr>
      <w:r>
        <w:rPr>
          <w:rFonts w:ascii="Arial" w:hAnsi="Arial" w:cs="Arial"/>
          <w:b/>
          <w:bCs/>
          <w:sz w:val="22"/>
          <w:szCs w:val="24"/>
          <w:lang w:val="es-CR"/>
        </w:rPr>
        <w:lastRenderedPageBreak/>
        <w:t>Sección Financiera</w:t>
      </w:r>
    </w:p>
    <w:p w14:paraId="3878F6D4" w14:textId="77777777" w:rsidR="0083271E" w:rsidRDefault="0083271E" w:rsidP="0083271E">
      <w:pPr>
        <w:pStyle w:val="NormalWeb"/>
        <w:spacing w:before="0" w:line="102" w:lineRule="atLeast"/>
        <w:rPr>
          <w:rFonts w:ascii="Arial" w:hAnsi="Arial" w:cs="Arial"/>
          <w:b/>
          <w:bCs/>
          <w:sz w:val="22"/>
          <w:szCs w:val="24"/>
          <w:lang w:val="es-CR"/>
        </w:rPr>
      </w:pPr>
    </w:p>
    <w:p w14:paraId="13A1FB6F" w14:textId="77777777" w:rsidR="0083271E" w:rsidRDefault="0083271E" w:rsidP="0083271E">
      <w:pPr>
        <w:pStyle w:val="NormalWeb"/>
        <w:spacing w:before="0" w:line="102" w:lineRule="atLeast"/>
        <w:rPr>
          <w:rFonts w:ascii="Arial" w:hAnsi="Arial" w:cs="Arial"/>
          <w:sz w:val="22"/>
          <w:szCs w:val="24"/>
          <w:lang w:val="es-CR"/>
        </w:rPr>
      </w:pPr>
      <w:r>
        <w:rPr>
          <w:rFonts w:ascii="Arial" w:hAnsi="Arial" w:cs="Arial"/>
          <w:sz w:val="22"/>
          <w:szCs w:val="24"/>
          <w:lang w:val="es-CR"/>
        </w:rPr>
        <w:t xml:space="preserve">Es importante mencionar el impacto del diferencial cambiario que afecta al Estado de Resultados de la Institución, ya que cuando se presenta un incremento en el tipo de cambio de un período a otro, los activos en dólares de la Institución presentan un ingreso por diferencial cambiario y los pasivos producen un gasto. Por otra parte, al darse una disminución del tipo de cambio entre un período y otro, el efecto es que al ser mayores los pasivos en dólares que los activos, los ingresos por diferencial cambiario son mayores que los egresos. </w:t>
      </w:r>
    </w:p>
    <w:p w14:paraId="483791B0" w14:textId="77777777" w:rsidR="0083271E" w:rsidRDefault="0083271E" w:rsidP="0083271E">
      <w:pPr>
        <w:pStyle w:val="NormalWeb"/>
        <w:spacing w:before="0" w:line="102" w:lineRule="atLeast"/>
        <w:rPr>
          <w:rFonts w:ascii="Arial" w:hAnsi="Arial" w:cs="Arial"/>
          <w:sz w:val="22"/>
          <w:szCs w:val="24"/>
          <w:lang w:val="es-CR"/>
        </w:rPr>
      </w:pPr>
    </w:p>
    <w:p w14:paraId="16DCE7E7" w14:textId="77777777" w:rsidR="0083271E" w:rsidRPr="00BD765D" w:rsidRDefault="0083271E" w:rsidP="0083271E">
      <w:pPr>
        <w:spacing w:line="102" w:lineRule="atLeast"/>
      </w:pPr>
      <w:r>
        <w:rPr>
          <w:rFonts w:ascii="Arial" w:hAnsi="Arial" w:cs="Arial"/>
        </w:rPr>
        <w:t xml:space="preserve">El grupo de cuentas de </w:t>
      </w:r>
      <w:r>
        <w:rPr>
          <w:rFonts w:ascii="Arial" w:hAnsi="Arial" w:cs="Arial"/>
          <w:b/>
          <w:bCs/>
        </w:rPr>
        <w:t>Ingresos financieros</w:t>
      </w:r>
      <w:r>
        <w:rPr>
          <w:rFonts w:ascii="Arial" w:hAnsi="Arial" w:cs="Arial"/>
        </w:rPr>
        <w:t xml:space="preserve"> registra un </w:t>
      </w:r>
      <w:r>
        <w:rPr>
          <w:rFonts w:ascii="Arial" w:hAnsi="Arial" w:cs="Arial"/>
          <w:b/>
          <w:bCs/>
          <w:u w:val="single"/>
        </w:rPr>
        <w:t>crecimiento neto</w:t>
      </w:r>
      <w:r>
        <w:rPr>
          <w:rFonts w:ascii="Arial" w:hAnsi="Arial" w:cs="Arial"/>
        </w:rPr>
        <w:t xml:space="preserve"> de ¢1.649 millones con respecto al período 2017</w:t>
      </w:r>
      <w:r w:rsidRPr="00BD765D">
        <w:rPr>
          <w:rFonts w:ascii="Arial" w:hAnsi="Arial" w:cs="Arial"/>
        </w:rPr>
        <w:t xml:space="preserve">, el mayor impacto se muestra en la partida de </w:t>
      </w:r>
      <w:r w:rsidRPr="00BD765D">
        <w:rPr>
          <w:rFonts w:ascii="Arial" w:hAnsi="Arial" w:cs="Arial"/>
          <w:b/>
          <w:bCs/>
        </w:rPr>
        <w:t>Diferencial Cambiario</w:t>
      </w:r>
      <w:r w:rsidRPr="00BD765D">
        <w:rPr>
          <w:rFonts w:ascii="Arial" w:hAnsi="Arial" w:cs="Arial"/>
        </w:rPr>
        <w:t xml:space="preserve"> que crece en ¢1.174 millones, asociado al aumento en el tipo de cambio del dólar y otras monedas extranjeras. </w:t>
      </w:r>
    </w:p>
    <w:p w14:paraId="33B95007" w14:textId="77777777" w:rsidR="0083271E" w:rsidRPr="00BD765D" w:rsidRDefault="0083271E" w:rsidP="0083271E">
      <w:pPr>
        <w:spacing w:line="102" w:lineRule="atLeast"/>
      </w:pPr>
      <w:r w:rsidRPr="00C06562">
        <w:rPr>
          <w:rFonts w:ascii="Arial" w:hAnsi="Arial" w:cs="Arial"/>
        </w:rPr>
        <w:t>El</w:t>
      </w:r>
      <w:r>
        <w:rPr>
          <w:rFonts w:ascii="Arial" w:hAnsi="Arial" w:cs="Arial"/>
        </w:rPr>
        <w:t xml:space="preserve"> conjunto de cuentas de </w:t>
      </w:r>
      <w:r>
        <w:rPr>
          <w:rFonts w:ascii="Arial" w:hAnsi="Arial" w:cs="Arial"/>
          <w:b/>
          <w:bCs/>
        </w:rPr>
        <w:t>Gastos Financieros</w:t>
      </w:r>
      <w:r>
        <w:rPr>
          <w:rFonts w:ascii="Arial" w:hAnsi="Arial" w:cs="Arial"/>
        </w:rPr>
        <w:t xml:space="preserve"> presenta un </w:t>
      </w:r>
      <w:r>
        <w:rPr>
          <w:rFonts w:ascii="Arial" w:hAnsi="Arial" w:cs="Arial"/>
          <w:b/>
          <w:bCs/>
          <w:u w:val="single"/>
        </w:rPr>
        <w:t xml:space="preserve">crecimiento neto </w:t>
      </w:r>
      <w:r>
        <w:rPr>
          <w:rFonts w:ascii="Arial" w:hAnsi="Arial" w:cs="Arial"/>
        </w:rPr>
        <w:t xml:space="preserve">de ¢3.366 millones, ya que pasa de ¢4.010 millones en diciembre del 2017 a 7.376 millones en diciembre 2018, </w:t>
      </w:r>
      <w:r w:rsidRPr="00BD765D">
        <w:rPr>
          <w:rFonts w:ascii="Arial" w:hAnsi="Arial" w:cs="Arial"/>
        </w:rPr>
        <w:t xml:space="preserve">donde la cuenta </w:t>
      </w:r>
      <w:r w:rsidRPr="00BD765D">
        <w:rPr>
          <w:rFonts w:ascii="Arial" w:hAnsi="Arial" w:cs="Arial"/>
          <w:b/>
          <w:bCs/>
        </w:rPr>
        <w:t xml:space="preserve">Gastos por Diferencial Cambiario </w:t>
      </w:r>
      <w:r w:rsidRPr="00BD765D">
        <w:rPr>
          <w:rFonts w:ascii="Arial" w:hAnsi="Arial" w:cs="Arial"/>
        </w:rPr>
        <w:t xml:space="preserve">presenta un aumento de ¢3.025 millones por la relación del colón con respecto al dólar estadounidense y otras monedas extranjeras. </w:t>
      </w:r>
    </w:p>
    <w:p w14:paraId="673FDE7A" w14:textId="77777777" w:rsidR="0083271E" w:rsidRDefault="0083271E" w:rsidP="0083271E">
      <w:pPr>
        <w:spacing w:line="100" w:lineRule="atLeast"/>
        <w:rPr>
          <w:rFonts w:ascii="Arial" w:hAnsi="Arial" w:cs="Arial"/>
        </w:rPr>
      </w:pPr>
      <w:r>
        <w:rPr>
          <w:rFonts w:ascii="Arial" w:hAnsi="Arial" w:cs="Arial"/>
        </w:rPr>
        <w:t xml:space="preserve">Al final del período 2018 se presenta una </w:t>
      </w:r>
      <w:r>
        <w:rPr>
          <w:rFonts w:ascii="Arial" w:hAnsi="Arial" w:cs="Arial"/>
          <w:b/>
          <w:bCs/>
        </w:rPr>
        <w:t>Pérdida Neta</w:t>
      </w:r>
      <w:r>
        <w:rPr>
          <w:rFonts w:ascii="Arial" w:hAnsi="Arial" w:cs="Arial"/>
        </w:rPr>
        <w:t xml:space="preserve"> por ¢15.017 millones que se reduce en ¢5.188 millones, o sea un 26% con respecto al año 2017.</w:t>
      </w:r>
    </w:p>
    <w:p w14:paraId="1846E888" w14:textId="77777777" w:rsidR="0083271E" w:rsidRDefault="0083271E" w:rsidP="0083271E">
      <w:pPr>
        <w:spacing w:line="100" w:lineRule="atLeast"/>
        <w:rPr>
          <w:rFonts w:ascii="Arial" w:hAnsi="Arial" w:cs="Arial"/>
          <w:b/>
        </w:rPr>
      </w:pPr>
      <w:r>
        <w:rPr>
          <w:rFonts w:ascii="Arial" w:hAnsi="Arial" w:cs="Arial"/>
        </w:rPr>
        <w:t>En la tabla 2 se muestra el Estado de Resultados comparativo resumido de los períodos terminados al 31 de diciembre 2017-2018 además en los gráficos 3 y 4 se presenta la relación porcentual en las cuentas de ingresos y gastos del Estado de Resultados por el mismo periodo.</w:t>
      </w:r>
    </w:p>
    <w:p w14:paraId="735366B2" w14:textId="77777777" w:rsidR="0083271E" w:rsidRDefault="0083271E" w:rsidP="0083271E">
      <w:pPr>
        <w:spacing w:line="100" w:lineRule="atLeast"/>
        <w:rPr>
          <w:rFonts w:ascii="Arial" w:hAnsi="Arial" w:cs="Arial"/>
          <w:b/>
        </w:rPr>
      </w:pPr>
    </w:p>
    <w:p w14:paraId="6197AAD4" w14:textId="77777777" w:rsidR="00AC0A7D" w:rsidRDefault="00AC0A7D" w:rsidP="0083271E">
      <w:pPr>
        <w:spacing w:line="100" w:lineRule="atLeast"/>
        <w:rPr>
          <w:rFonts w:ascii="Arial" w:hAnsi="Arial" w:cs="Arial"/>
          <w:b/>
        </w:rPr>
      </w:pPr>
    </w:p>
    <w:p w14:paraId="12818413" w14:textId="77777777" w:rsidR="00AC0A7D" w:rsidRDefault="00AC0A7D" w:rsidP="0083271E">
      <w:pPr>
        <w:spacing w:line="100" w:lineRule="atLeast"/>
        <w:rPr>
          <w:rFonts w:ascii="Arial" w:hAnsi="Arial" w:cs="Arial"/>
          <w:b/>
        </w:rPr>
      </w:pPr>
    </w:p>
    <w:p w14:paraId="0DB48673" w14:textId="77777777" w:rsidR="00AC0A7D" w:rsidRDefault="00AC0A7D" w:rsidP="0083271E">
      <w:pPr>
        <w:spacing w:line="100" w:lineRule="atLeast"/>
        <w:rPr>
          <w:rFonts w:ascii="Arial" w:hAnsi="Arial" w:cs="Arial"/>
          <w:b/>
        </w:rPr>
      </w:pPr>
    </w:p>
    <w:p w14:paraId="6196B06F" w14:textId="77777777" w:rsidR="00AC0A7D" w:rsidRDefault="00AC0A7D" w:rsidP="0083271E">
      <w:pPr>
        <w:spacing w:line="100" w:lineRule="atLeast"/>
        <w:rPr>
          <w:rFonts w:ascii="Arial" w:hAnsi="Arial" w:cs="Arial"/>
          <w:b/>
        </w:rPr>
      </w:pPr>
    </w:p>
    <w:p w14:paraId="6CFB772D" w14:textId="77777777" w:rsidR="00AC0A7D" w:rsidRDefault="00AC0A7D" w:rsidP="0083271E">
      <w:pPr>
        <w:spacing w:line="100" w:lineRule="atLeast"/>
        <w:rPr>
          <w:rFonts w:ascii="Arial" w:hAnsi="Arial" w:cs="Arial"/>
          <w:b/>
        </w:rPr>
      </w:pPr>
    </w:p>
    <w:p w14:paraId="0617E5EC" w14:textId="77777777" w:rsidR="00AC0A7D" w:rsidRDefault="00AC0A7D" w:rsidP="0083271E">
      <w:pPr>
        <w:spacing w:line="100" w:lineRule="atLeast"/>
        <w:rPr>
          <w:rFonts w:ascii="Arial" w:hAnsi="Arial" w:cs="Arial"/>
          <w:b/>
        </w:rPr>
      </w:pPr>
    </w:p>
    <w:p w14:paraId="5DDC49DA" w14:textId="77777777" w:rsidR="0083271E" w:rsidRPr="001F3F23" w:rsidRDefault="001F3F23" w:rsidP="001F3F23">
      <w:pPr>
        <w:jc w:val="right"/>
        <w:rPr>
          <w:rFonts w:ascii="Arial" w:hAnsi="Arial" w:cs="Arial"/>
        </w:rPr>
      </w:pPr>
      <w:r w:rsidRPr="001F3F23">
        <w:rPr>
          <w:rFonts w:ascii="Arial" w:hAnsi="Arial" w:cs="Arial"/>
        </w:rPr>
        <w:t>11</w:t>
      </w:r>
    </w:p>
    <w:p w14:paraId="670A1619" w14:textId="77777777" w:rsidR="0083271E" w:rsidRDefault="0083271E" w:rsidP="0083271E">
      <w:pPr>
        <w:rPr>
          <w:rFonts w:ascii="Arial" w:hAnsi="Arial" w:cs="Arial"/>
          <w:b/>
        </w:rPr>
      </w:pPr>
      <w:r>
        <w:rPr>
          <w:rFonts w:ascii="Arial" w:hAnsi="Arial" w:cs="Arial"/>
          <w:b/>
        </w:rPr>
        <w:lastRenderedPageBreak/>
        <w:t>Tabla 2</w:t>
      </w:r>
    </w:p>
    <w:p w14:paraId="08FE9820" w14:textId="77777777" w:rsidR="0083271E" w:rsidRDefault="0083271E" w:rsidP="0083271E">
      <w:pPr>
        <w:rPr>
          <w:rFonts w:ascii="Arial" w:hAnsi="Arial" w:cs="Arial"/>
          <w:b/>
        </w:rPr>
      </w:pPr>
    </w:p>
    <w:p w14:paraId="2A1EAB57" w14:textId="77777777" w:rsidR="0083271E" w:rsidRDefault="0083271E" w:rsidP="0083271E">
      <w:pPr>
        <w:rPr>
          <w:b/>
          <w:bCs/>
          <w:sz w:val="26"/>
          <w:szCs w:val="26"/>
        </w:rPr>
      </w:pPr>
      <w:r w:rsidRPr="00C06562">
        <w:rPr>
          <w:noProof/>
          <w:lang w:eastAsia="es-CR"/>
        </w:rPr>
        <w:drawing>
          <wp:inline distT="0" distB="0" distL="0" distR="0" wp14:anchorId="55149E5E" wp14:editId="130C57A4">
            <wp:extent cx="5935980" cy="440436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5980" cy="4404360"/>
                    </a:xfrm>
                    <a:prstGeom prst="rect">
                      <a:avLst/>
                    </a:prstGeom>
                    <a:noFill/>
                    <a:ln>
                      <a:noFill/>
                    </a:ln>
                  </pic:spPr>
                </pic:pic>
              </a:graphicData>
            </a:graphic>
          </wp:inline>
        </w:drawing>
      </w:r>
    </w:p>
    <w:p w14:paraId="759FE66B" w14:textId="77777777" w:rsidR="00AD5B5B" w:rsidRDefault="00AD5B5B" w:rsidP="00D215AE">
      <w:pPr>
        <w:jc w:val="center"/>
        <w:rPr>
          <w:rFonts w:ascii="Arial" w:eastAsia="SimSun" w:hAnsi="Arial" w:cs="Arial"/>
          <w:b/>
          <w:bCs/>
          <w:lang w:val="es-ES" w:eastAsia="hi-IN" w:bidi="hi-IN"/>
        </w:rPr>
      </w:pPr>
    </w:p>
    <w:p w14:paraId="12579175" w14:textId="77777777" w:rsidR="00AD5B5B" w:rsidRDefault="00AD5B5B" w:rsidP="00D215AE">
      <w:pPr>
        <w:jc w:val="center"/>
        <w:rPr>
          <w:rFonts w:ascii="Arial" w:eastAsia="SimSun" w:hAnsi="Arial" w:cs="Arial"/>
          <w:b/>
          <w:bCs/>
          <w:lang w:val="es-ES" w:eastAsia="hi-IN" w:bidi="hi-IN"/>
        </w:rPr>
      </w:pPr>
    </w:p>
    <w:p w14:paraId="4473EF46" w14:textId="77777777" w:rsidR="00AD5B5B" w:rsidRDefault="00AD5B5B" w:rsidP="00D215AE">
      <w:pPr>
        <w:jc w:val="center"/>
        <w:rPr>
          <w:rFonts w:ascii="Arial" w:eastAsia="SimSun" w:hAnsi="Arial" w:cs="Arial"/>
          <w:b/>
          <w:bCs/>
          <w:lang w:val="es-ES" w:eastAsia="hi-IN" w:bidi="hi-IN"/>
        </w:rPr>
      </w:pPr>
    </w:p>
    <w:p w14:paraId="2EAF2BFE" w14:textId="77777777" w:rsidR="00AD5B5B" w:rsidRDefault="00AD5B5B" w:rsidP="00D215AE">
      <w:pPr>
        <w:jc w:val="center"/>
        <w:rPr>
          <w:rFonts w:ascii="Arial" w:eastAsia="SimSun" w:hAnsi="Arial" w:cs="Arial"/>
          <w:b/>
          <w:bCs/>
          <w:lang w:val="es-ES" w:eastAsia="hi-IN" w:bidi="hi-IN"/>
        </w:rPr>
      </w:pPr>
    </w:p>
    <w:p w14:paraId="113787C4" w14:textId="77777777" w:rsidR="00E91C37" w:rsidRPr="001F3F23" w:rsidRDefault="001F3F23" w:rsidP="00BA3B81">
      <w:pPr>
        <w:jc w:val="right"/>
        <w:rPr>
          <w:rFonts w:ascii="Arial" w:eastAsia="SimSun" w:hAnsi="Arial" w:cs="Arial"/>
          <w:bCs/>
          <w:lang w:val="es-ES" w:eastAsia="hi-IN" w:bidi="hi-IN"/>
        </w:rPr>
      </w:pPr>
      <w:r w:rsidRPr="001F3F23">
        <w:rPr>
          <w:rFonts w:ascii="Arial" w:eastAsia="SimSun" w:hAnsi="Arial" w:cs="Arial"/>
          <w:bCs/>
          <w:lang w:val="es-ES" w:eastAsia="hi-IN" w:bidi="hi-IN"/>
        </w:rPr>
        <w:t>12</w:t>
      </w:r>
    </w:p>
    <w:p w14:paraId="1A60318A" w14:textId="77777777" w:rsidR="00E91C37" w:rsidRPr="00E91C37" w:rsidRDefault="00D215AE" w:rsidP="00E91C37">
      <w:pPr>
        <w:jc w:val="center"/>
        <w:rPr>
          <w:rFonts w:ascii="Arial" w:eastAsia="SimSun" w:hAnsi="Arial" w:cs="Arial"/>
          <w:b/>
          <w:bCs/>
          <w:lang w:val="es-ES" w:eastAsia="hi-IN" w:bidi="hi-IN"/>
        </w:rPr>
      </w:pPr>
      <w:r w:rsidRPr="00A21092">
        <w:rPr>
          <w:rFonts w:ascii="Arial" w:eastAsia="SimSun" w:hAnsi="Arial" w:cs="Arial"/>
          <w:b/>
          <w:bCs/>
          <w:lang w:val="es-ES" w:eastAsia="hi-IN" w:bidi="hi-IN"/>
        </w:rPr>
        <w:lastRenderedPageBreak/>
        <w:t>ANÁLIS</w:t>
      </w:r>
      <w:r w:rsidR="003E72F7" w:rsidRPr="00A21092">
        <w:rPr>
          <w:rFonts w:ascii="Arial" w:eastAsia="SimSun" w:hAnsi="Arial" w:cs="Arial"/>
          <w:b/>
          <w:bCs/>
          <w:lang w:val="es-ES" w:eastAsia="hi-IN" w:bidi="hi-IN"/>
        </w:rPr>
        <w:t>I</w:t>
      </w:r>
      <w:r w:rsidR="00E91C37">
        <w:rPr>
          <w:rFonts w:ascii="Arial" w:eastAsia="SimSun" w:hAnsi="Arial" w:cs="Arial"/>
          <w:b/>
          <w:bCs/>
          <w:lang w:val="es-ES" w:eastAsia="hi-IN" w:bidi="hi-IN"/>
        </w:rPr>
        <w:t>S DE RAZONES FINANCIERAS</w:t>
      </w:r>
    </w:p>
    <w:p w14:paraId="77592B9C" w14:textId="77777777" w:rsidR="00E91C37" w:rsidRPr="00E91C37" w:rsidRDefault="00E91C37" w:rsidP="00E91C37">
      <w:pPr>
        <w:spacing w:before="0" w:beforeAutospacing="0" w:after="0" w:afterAutospacing="0" w:line="240" w:lineRule="auto"/>
        <w:rPr>
          <w:rFonts w:ascii="Arial" w:hAnsi="Arial" w:cs="Arial"/>
        </w:rPr>
      </w:pPr>
      <w:r w:rsidRPr="00E91C37">
        <w:rPr>
          <w:rFonts w:ascii="Arial" w:hAnsi="Arial" w:cs="Arial"/>
        </w:rPr>
        <w:t>El análisis de razones financieras permite evaluar la situación financiera desde el punto de vista de liquidez, rentabilidad, operación y endeudamiento.</w:t>
      </w:r>
    </w:p>
    <w:p w14:paraId="32EAED85" w14:textId="77777777" w:rsidR="00E91C37" w:rsidRPr="00E91C37" w:rsidRDefault="00E91C37" w:rsidP="00E91C37">
      <w:pPr>
        <w:spacing w:before="0" w:beforeAutospacing="0" w:after="0" w:afterAutospacing="0" w:line="240" w:lineRule="auto"/>
        <w:rPr>
          <w:rFonts w:ascii="Arial" w:hAnsi="Arial" w:cs="Arial"/>
        </w:rPr>
      </w:pPr>
      <w:r w:rsidRPr="00E91C37">
        <w:rPr>
          <w:rFonts w:ascii="Arial" w:hAnsi="Arial" w:cs="Arial"/>
        </w:rPr>
        <w:t xml:space="preserve">                                                                                                                    </w:t>
      </w:r>
    </w:p>
    <w:p w14:paraId="79A6C5E1" w14:textId="77777777" w:rsidR="00E91C37" w:rsidRPr="00E91C37" w:rsidRDefault="00EB1ACE" w:rsidP="00E91C37">
      <w:pPr>
        <w:spacing w:before="0" w:beforeAutospacing="0" w:after="0" w:afterAutospacing="0" w:line="240" w:lineRule="auto"/>
        <w:rPr>
          <w:rFonts w:ascii="Arial" w:hAnsi="Arial" w:cs="Arial"/>
          <w:lang w:eastAsia="ar-SA"/>
        </w:rPr>
      </w:pPr>
      <w:r>
        <w:rPr>
          <w:noProof/>
          <w:lang w:eastAsia="es-CR"/>
        </w:rPr>
        <w:drawing>
          <wp:anchor distT="0" distB="0" distL="114300" distR="114300" simplePos="0" relativeHeight="251820032" behindDoc="0" locked="0" layoutInCell="1" allowOverlap="1" wp14:anchorId="5B8AD9BC" wp14:editId="78CFF31C">
            <wp:simplePos x="0" y="0"/>
            <wp:positionH relativeFrom="margin">
              <wp:posOffset>219075</wp:posOffset>
            </wp:positionH>
            <wp:positionV relativeFrom="paragraph">
              <wp:posOffset>645795</wp:posOffset>
            </wp:positionV>
            <wp:extent cx="5494020" cy="4800600"/>
            <wp:effectExtent l="0" t="0" r="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94020" cy="480060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E91C37" w:rsidRPr="00E91C37">
        <w:rPr>
          <w:rFonts w:ascii="Arial" w:hAnsi="Arial" w:cs="Arial"/>
        </w:rPr>
        <w:t>A continuación, se muestra un detalle del resultado de las principales razones financieras al 31 de diciembre del 2017 y 2018.</w:t>
      </w:r>
    </w:p>
    <w:p w14:paraId="0E023C48" w14:textId="77777777" w:rsidR="00E91C37" w:rsidRDefault="00E91C37" w:rsidP="00E91C37">
      <w:pPr>
        <w:rPr>
          <w:lang w:eastAsia="ar-SA"/>
        </w:rPr>
      </w:pPr>
    </w:p>
    <w:p w14:paraId="06CF4D3B" w14:textId="77777777" w:rsidR="00E91C37" w:rsidRDefault="00E91C37" w:rsidP="00E91C37">
      <w:pPr>
        <w:rPr>
          <w:lang w:eastAsia="ar-SA"/>
        </w:rPr>
      </w:pPr>
    </w:p>
    <w:p w14:paraId="59D29751" w14:textId="77777777" w:rsidR="00EB1ACE" w:rsidRPr="00BA3B81" w:rsidRDefault="00BA3B81" w:rsidP="00BA3B81">
      <w:pPr>
        <w:spacing w:before="0" w:beforeAutospacing="0" w:after="0" w:afterAutospacing="0" w:line="240" w:lineRule="auto"/>
        <w:jc w:val="right"/>
        <w:rPr>
          <w:rFonts w:ascii="Arial" w:hAnsi="Arial" w:cs="Arial"/>
        </w:rPr>
      </w:pPr>
      <w:r w:rsidRPr="00BA3B81">
        <w:rPr>
          <w:rFonts w:ascii="Arial" w:hAnsi="Arial" w:cs="Arial"/>
        </w:rPr>
        <w:t>13</w:t>
      </w:r>
    </w:p>
    <w:p w14:paraId="7F03D1D1" w14:textId="77777777" w:rsidR="00E91C37" w:rsidRDefault="00E91C37" w:rsidP="00E91C37">
      <w:pPr>
        <w:spacing w:before="0" w:beforeAutospacing="0" w:after="0" w:afterAutospacing="0" w:line="240" w:lineRule="auto"/>
        <w:rPr>
          <w:rFonts w:ascii="Arial" w:hAnsi="Arial" w:cs="Arial"/>
          <w:spacing w:val="-5"/>
        </w:rPr>
      </w:pPr>
      <w:r w:rsidRPr="00E91C37">
        <w:rPr>
          <w:rFonts w:ascii="Arial" w:hAnsi="Arial" w:cs="Arial"/>
          <w:b/>
        </w:rPr>
        <w:lastRenderedPageBreak/>
        <w:t>Razón de Liquidez:</w:t>
      </w:r>
      <w:r>
        <w:rPr>
          <w:rFonts w:ascii="Arial" w:hAnsi="Arial" w:cs="Arial"/>
          <w:bCs/>
        </w:rPr>
        <w:t xml:space="preserve"> </w:t>
      </w:r>
      <w:r w:rsidRPr="00E91C37">
        <w:rPr>
          <w:rFonts w:ascii="Arial" w:hAnsi="Arial" w:cs="Arial"/>
          <w:b/>
          <w:bCs/>
        </w:rPr>
        <w:t xml:space="preserve">Fórmula: </w:t>
      </w:r>
      <w:r w:rsidRPr="00451620">
        <w:rPr>
          <w:rFonts w:ascii="Arial" w:hAnsi="Arial" w:cs="Arial"/>
          <w:i/>
          <w:iCs/>
          <w:sz w:val="20"/>
          <w:szCs w:val="20"/>
        </w:rPr>
        <w:t>(activo corriente</w:t>
      </w:r>
      <w:r w:rsidRPr="00451620">
        <w:rPr>
          <w:rFonts w:ascii="Arial" w:hAnsi="Arial" w:cs="Arial"/>
          <w:b/>
          <w:i/>
          <w:iCs/>
          <w:sz w:val="20"/>
          <w:szCs w:val="20"/>
        </w:rPr>
        <w:t xml:space="preserve"> / </w:t>
      </w:r>
      <w:r w:rsidRPr="00451620">
        <w:rPr>
          <w:rFonts w:ascii="Arial" w:hAnsi="Arial" w:cs="Arial"/>
          <w:i/>
          <w:iCs/>
          <w:sz w:val="20"/>
          <w:szCs w:val="20"/>
        </w:rPr>
        <w:t>pasivo corriente)</w:t>
      </w:r>
      <w:r w:rsidRPr="00E91C37">
        <w:rPr>
          <w:rFonts w:ascii="Arial" w:hAnsi="Arial" w:cs="Arial"/>
          <w:i/>
          <w:iCs/>
          <w:spacing w:val="-5"/>
        </w:rPr>
        <w:tab/>
        <w:t xml:space="preserve">           </w:t>
      </w:r>
      <w:r w:rsidRPr="00E91C37">
        <w:rPr>
          <w:rFonts w:ascii="Arial" w:hAnsi="Arial" w:cs="Arial"/>
          <w:spacing w:val="-5"/>
        </w:rPr>
        <w:t xml:space="preserve">  </w:t>
      </w:r>
      <w:r>
        <w:rPr>
          <w:rFonts w:ascii="Arial" w:hAnsi="Arial" w:cs="Arial"/>
          <w:spacing w:val="-5"/>
        </w:rPr>
        <w:t xml:space="preserve">                              </w:t>
      </w:r>
    </w:p>
    <w:p w14:paraId="5095457F" w14:textId="77777777" w:rsidR="00E91C37" w:rsidRDefault="00E91C37" w:rsidP="00E91C37">
      <w:pPr>
        <w:spacing w:before="0" w:beforeAutospacing="0" w:after="0" w:afterAutospacing="0" w:line="240" w:lineRule="auto"/>
        <w:rPr>
          <w:rFonts w:ascii="Arial" w:hAnsi="Arial" w:cs="Arial"/>
          <w:spacing w:val="-5"/>
        </w:rPr>
      </w:pPr>
    </w:p>
    <w:p w14:paraId="0997FBAC" w14:textId="77777777" w:rsidR="00E91C37" w:rsidRPr="00E91C37" w:rsidRDefault="00E91C37" w:rsidP="00E91C37">
      <w:pPr>
        <w:spacing w:before="0" w:beforeAutospacing="0" w:after="0" w:afterAutospacing="0" w:line="240" w:lineRule="auto"/>
        <w:rPr>
          <w:rFonts w:ascii="Arial" w:hAnsi="Arial" w:cs="Arial"/>
          <w:bCs/>
        </w:rPr>
      </w:pPr>
      <w:r w:rsidRPr="00E91C37">
        <w:rPr>
          <w:rFonts w:ascii="Arial" w:hAnsi="Arial" w:cs="Arial"/>
          <w:spacing w:val="-5"/>
        </w:rPr>
        <w:t>Este indicador muestra la disponibilidad de recursos inmediatos que tiene la Institución para pagar las obligaciones a corto plazo, el valor recomendable es uno o mayor de uno.</w:t>
      </w:r>
    </w:p>
    <w:p w14:paraId="269EA37E" w14:textId="77777777" w:rsidR="00E91C37" w:rsidRPr="00E91C37" w:rsidRDefault="00E91C37" w:rsidP="00E91C37">
      <w:pPr>
        <w:pStyle w:val="WW-Predeterminado"/>
        <w:shd w:val="clear" w:color="auto" w:fill="FFFFFF"/>
        <w:tabs>
          <w:tab w:val="left" w:pos="-105"/>
          <w:tab w:val="left" w:pos="120"/>
        </w:tabs>
        <w:jc w:val="both"/>
        <w:rPr>
          <w:rFonts w:ascii="Arial" w:hAnsi="Arial" w:cs="Arial"/>
          <w:sz w:val="22"/>
          <w:szCs w:val="22"/>
        </w:rPr>
      </w:pPr>
      <w:r w:rsidRPr="00E91C37">
        <w:rPr>
          <w:rFonts w:ascii="Arial" w:eastAsia="Times New Roman" w:hAnsi="Arial" w:cs="Arial"/>
          <w:spacing w:val="-5"/>
          <w:sz w:val="22"/>
          <w:szCs w:val="22"/>
        </w:rPr>
        <w:t>El nivel de liquidez para diciembre del 2018 es de 3.43 lo que indica que por cada colón del Pasivo Corriente se obtiene ¢3.43 para responder a éste, por tanto, de acuerdo al resultado del indicador la Institución ha generado durante este periodo fondos suficientes para el pago de las obligaciones de corto plazo.</w:t>
      </w:r>
    </w:p>
    <w:p w14:paraId="2EF2E07B" w14:textId="77777777" w:rsidR="00E91C37" w:rsidRDefault="00E91C37" w:rsidP="00E91C37">
      <w:pPr>
        <w:rPr>
          <w:rFonts w:ascii="Arial" w:hAnsi="Arial" w:cs="Arial"/>
          <w:szCs w:val="20"/>
          <w:lang w:val="es-ES"/>
        </w:rPr>
      </w:pPr>
      <w:r w:rsidRPr="00E91C37">
        <w:rPr>
          <w:rFonts w:ascii="Arial" w:hAnsi="Arial" w:cs="Arial"/>
          <w:noProof/>
          <w:lang w:eastAsia="es-CR"/>
        </w:rPr>
        <w:drawing>
          <wp:anchor distT="0" distB="0" distL="114935" distR="114935" simplePos="0" relativeHeight="251812864" behindDoc="0" locked="0" layoutInCell="1" allowOverlap="1" wp14:anchorId="5CAE7600" wp14:editId="2BF1CF85">
            <wp:simplePos x="0" y="0"/>
            <wp:positionH relativeFrom="margin">
              <wp:posOffset>32385</wp:posOffset>
            </wp:positionH>
            <wp:positionV relativeFrom="paragraph">
              <wp:posOffset>490220</wp:posOffset>
            </wp:positionV>
            <wp:extent cx="3124200" cy="2194560"/>
            <wp:effectExtent l="19050" t="19050" r="19050" b="15240"/>
            <wp:wrapSquare wrapText="bothSides"/>
            <wp:docPr id="75" name="Gráfico 7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00C1632C">
        <w:rPr>
          <w:rFonts w:ascii="Arial" w:hAnsi="Arial" w:cs="Arial"/>
          <w:b/>
          <w:bCs/>
          <w:lang w:val="es-ES"/>
        </w:rPr>
        <w:t>Gráfico 5</w:t>
      </w:r>
    </w:p>
    <w:p w14:paraId="369AA201" w14:textId="77777777" w:rsidR="00E91C37" w:rsidRPr="00E91C37" w:rsidRDefault="00E91C37" w:rsidP="00E91C37">
      <w:pPr>
        <w:pStyle w:val="WW-Predeterminado"/>
        <w:tabs>
          <w:tab w:val="left" w:pos="720"/>
        </w:tabs>
        <w:ind w:right="18"/>
        <w:jc w:val="both"/>
        <w:rPr>
          <w:rFonts w:ascii="Arial" w:hAnsi="Arial" w:cs="Arial"/>
          <w:sz w:val="22"/>
          <w:szCs w:val="22"/>
        </w:rPr>
      </w:pPr>
      <w:r w:rsidRPr="00E91C37">
        <w:rPr>
          <w:rFonts w:ascii="Arial" w:eastAsia="Times New Roman" w:hAnsi="Arial" w:cs="Arial"/>
          <w:spacing w:val="-5"/>
          <w:sz w:val="22"/>
          <w:szCs w:val="22"/>
          <w:shd w:val="clear" w:color="auto" w:fill="FFFFFF"/>
        </w:rPr>
        <w:t>Este indicador decrece en un 8.8% (0.33) con respecto al 31 de diciembre 2017 pasando de 3.76 a 3.43 puntos, debido a que el Activo Corriente decrece en ¢1,977 millones (3%) y el Pasivo Corriente aumenta en ¢988 millones (6%).</w:t>
      </w:r>
    </w:p>
    <w:p w14:paraId="6545D99A" w14:textId="77777777" w:rsidR="00E91C37" w:rsidRPr="00E91C37" w:rsidRDefault="00E91C37" w:rsidP="00E91C37">
      <w:pPr>
        <w:shd w:val="clear" w:color="auto" w:fill="FFFFFF"/>
        <w:tabs>
          <w:tab w:val="left" w:pos="-195"/>
          <w:tab w:val="left" w:pos="30"/>
        </w:tabs>
        <w:spacing w:line="100" w:lineRule="atLeast"/>
        <w:ind w:right="-2"/>
        <w:rPr>
          <w:rFonts w:ascii="Arial" w:hAnsi="Arial" w:cs="Arial"/>
        </w:rPr>
      </w:pPr>
      <w:r w:rsidRPr="00E91C37">
        <w:rPr>
          <w:rFonts w:ascii="Arial" w:eastAsia="Times New Roman" w:hAnsi="Arial" w:cs="Arial"/>
          <w:spacing w:val="-4"/>
          <w:lang w:eastAsia="ar-SA"/>
        </w:rPr>
        <w:t>Es importante indicar que el decrecimiento del activo corriente en ¢1,977 millones (3%), obedece fundamentalmente a la disminución en las Inversiones en títulos valores, producto de un mayor requerimiento de efectivo para cubrir las obligaciones normales de la Institución.</w:t>
      </w:r>
    </w:p>
    <w:p w14:paraId="43B9CF99" w14:textId="77777777" w:rsidR="00E91C37" w:rsidRPr="00E91C37" w:rsidRDefault="00E91C37" w:rsidP="00E91C37">
      <w:pPr>
        <w:pStyle w:val="Standard"/>
        <w:shd w:val="clear" w:color="auto" w:fill="FFFFFF"/>
        <w:tabs>
          <w:tab w:val="left" w:pos="-195"/>
          <w:tab w:val="left" w:pos="30"/>
          <w:tab w:val="center" w:pos="4987"/>
        </w:tabs>
        <w:spacing w:line="100" w:lineRule="atLeast"/>
        <w:ind w:right="-2"/>
        <w:jc w:val="both"/>
        <w:rPr>
          <w:rFonts w:ascii="Arial" w:hAnsi="Arial" w:cs="Arial"/>
          <w:spacing w:val="-5"/>
          <w:sz w:val="22"/>
          <w:szCs w:val="22"/>
        </w:rPr>
      </w:pPr>
      <w:r>
        <w:rPr>
          <w:rFonts w:ascii="Arial" w:hAnsi="Arial" w:cs="Arial"/>
          <w:sz w:val="22"/>
          <w:szCs w:val="22"/>
        </w:rPr>
        <w:t xml:space="preserve">Se </w:t>
      </w:r>
      <w:r w:rsidRPr="00E91C37">
        <w:rPr>
          <w:rFonts w:ascii="Arial" w:hAnsi="Arial" w:cs="Arial"/>
          <w:spacing w:val="-5"/>
          <w:sz w:val="22"/>
          <w:szCs w:val="22"/>
        </w:rPr>
        <w:t xml:space="preserve">presenta una diferencia negativa entre la recaudación y la facturación total de ¢1,379,20 millones, concentrado en el mes de febrero 2018 con ¢1,067 millones y abril con ¢1,018.33 millones, otros meses presentan una recaudación mayor a la facturación. </w:t>
      </w:r>
    </w:p>
    <w:p w14:paraId="4A5DF494" w14:textId="77777777" w:rsidR="00E91C37" w:rsidRPr="00E91C37" w:rsidRDefault="00E91C37" w:rsidP="00E91C37">
      <w:pPr>
        <w:pStyle w:val="WW-Predeterminado"/>
        <w:shd w:val="clear" w:color="auto" w:fill="FFFFFF"/>
        <w:tabs>
          <w:tab w:val="left" w:pos="-195"/>
          <w:tab w:val="left" w:pos="30"/>
        </w:tabs>
        <w:spacing w:line="100" w:lineRule="atLeast"/>
        <w:ind w:right="-2"/>
        <w:jc w:val="both"/>
        <w:rPr>
          <w:rFonts w:ascii="Arial" w:hAnsi="Arial" w:cs="Arial"/>
          <w:sz w:val="22"/>
          <w:szCs w:val="22"/>
        </w:rPr>
      </w:pPr>
    </w:p>
    <w:p w14:paraId="117C9CFF"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hAnsi="Arial" w:cs="Arial"/>
          <w:sz w:val="22"/>
          <w:szCs w:val="22"/>
        </w:rPr>
      </w:pPr>
      <w:r w:rsidRPr="00E91C37">
        <w:rPr>
          <w:rFonts w:ascii="Arial" w:eastAsia="Times New Roman" w:hAnsi="Arial" w:cs="Arial"/>
          <w:sz w:val="22"/>
          <w:szCs w:val="22"/>
        </w:rPr>
        <w:t>Por otra parte, el Pasivo Corriente muestra un crecimiento neto de ¢988 millones (6%), presentando mayor variación en las cuentas que se detallan a continuación:</w:t>
      </w:r>
    </w:p>
    <w:p w14:paraId="749FA432"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hAnsi="Arial" w:cs="Arial"/>
          <w:sz w:val="22"/>
          <w:szCs w:val="22"/>
        </w:rPr>
      </w:pPr>
    </w:p>
    <w:p w14:paraId="2B6B0FE5" w14:textId="77777777" w:rsidR="00E91C37" w:rsidRPr="00E91C37" w:rsidRDefault="00E91C37" w:rsidP="00594CE1">
      <w:pPr>
        <w:widowControl w:val="0"/>
        <w:numPr>
          <w:ilvl w:val="0"/>
          <w:numId w:val="39"/>
        </w:numPr>
        <w:shd w:val="clear" w:color="auto" w:fill="FFFFFF"/>
        <w:tabs>
          <w:tab w:val="left" w:pos="-3540"/>
          <w:tab w:val="num" w:pos="0"/>
        </w:tabs>
        <w:autoSpaceDE w:val="0"/>
        <w:spacing w:before="0" w:beforeAutospacing="0" w:after="0" w:afterAutospacing="0" w:line="100" w:lineRule="atLeast"/>
        <w:textAlignment w:val="baseline"/>
        <w:rPr>
          <w:rFonts w:ascii="Arial" w:eastAsia="Times New Roman" w:hAnsi="Arial" w:cs="Arial"/>
          <w:b/>
          <w:color w:val="FF0000"/>
        </w:rPr>
      </w:pPr>
      <w:r w:rsidRPr="00E91C37">
        <w:rPr>
          <w:rFonts w:ascii="Arial" w:eastAsia="Times New Roman" w:hAnsi="Arial" w:cs="Arial"/>
        </w:rPr>
        <w:t>La cuenta por Pagar Financiamiento</w:t>
      </w:r>
      <w:r w:rsidRPr="00E91C37">
        <w:rPr>
          <w:rFonts w:ascii="Arial" w:eastAsia="Times New Roman" w:hAnsi="Arial" w:cs="Arial"/>
          <w:b/>
          <w:bCs/>
        </w:rPr>
        <w:t xml:space="preserve"> </w:t>
      </w:r>
      <w:r w:rsidRPr="00E91C37">
        <w:rPr>
          <w:rFonts w:ascii="Arial" w:eastAsia="Times New Roman" w:hAnsi="Arial" w:cs="Arial"/>
          <w:bCs/>
        </w:rPr>
        <w:t>Nacional</w:t>
      </w:r>
      <w:r w:rsidRPr="00E91C37">
        <w:rPr>
          <w:rFonts w:ascii="Arial" w:eastAsia="Times New Roman" w:hAnsi="Arial" w:cs="Arial"/>
        </w:rPr>
        <w:t xml:space="preserve"> muestra </w:t>
      </w:r>
      <w:r w:rsidRPr="00E91C37">
        <w:rPr>
          <w:rFonts w:ascii="Arial" w:eastAsia="Times New Roman" w:hAnsi="Arial" w:cs="Arial"/>
          <w:b/>
          <w:bCs/>
          <w:u w:val="single"/>
        </w:rPr>
        <w:t>un alza neta de ¢473 millones (138%),</w:t>
      </w:r>
      <w:r w:rsidRPr="00E91C37">
        <w:rPr>
          <w:rFonts w:ascii="Arial" w:eastAsia="Times New Roman" w:hAnsi="Arial" w:cs="Arial"/>
        </w:rPr>
        <w:t xml:space="preserve"> producto de una mayor ejecución de desembolsos en el préstamo con el Banco Nacional.</w:t>
      </w:r>
    </w:p>
    <w:p w14:paraId="454D963D" w14:textId="77777777" w:rsidR="00E91C37" w:rsidRPr="00E91C37" w:rsidRDefault="00E91C37" w:rsidP="00E91C37">
      <w:pPr>
        <w:pStyle w:val="WW-Predeterminado"/>
        <w:shd w:val="clear" w:color="auto" w:fill="FFFFFF"/>
        <w:tabs>
          <w:tab w:val="left" w:pos="-4260"/>
        </w:tabs>
        <w:spacing w:line="100" w:lineRule="atLeast"/>
        <w:jc w:val="both"/>
        <w:rPr>
          <w:rFonts w:ascii="Arial" w:eastAsia="Times New Roman" w:hAnsi="Arial" w:cs="Arial"/>
          <w:b/>
          <w:color w:val="FF0000"/>
          <w:sz w:val="22"/>
          <w:szCs w:val="22"/>
        </w:rPr>
      </w:pPr>
    </w:p>
    <w:p w14:paraId="4C897807" w14:textId="77777777" w:rsidR="00E91C37" w:rsidRPr="00E91C37" w:rsidRDefault="00E91C37" w:rsidP="00594CE1">
      <w:pPr>
        <w:pStyle w:val="WW-Predeterminado"/>
        <w:numPr>
          <w:ilvl w:val="0"/>
          <w:numId w:val="39"/>
        </w:numPr>
        <w:shd w:val="clear" w:color="auto" w:fill="FFFFFF"/>
        <w:tabs>
          <w:tab w:val="left" w:pos="-4260"/>
          <w:tab w:val="num" w:pos="0"/>
        </w:tabs>
        <w:spacing w:line="100" w:lineRule="atLeast"/>
        <w:jc w:val="both"/>
        <w:rPr>
          <w:rFonts w:ascii="Arial" w:eastAsia="Times New Roman" w:hAnsi="Arial" w:cs="Arial"/>
          <w:b/>
          <w:sz w:val="22"/>
          <w:szCs w:val="22"/>
        </w:rPr>
      </w:pPr>
      <w:r w:rsidRPr="00E91C37">
        <w:rPr>
          <w:rFonts w:ascii="Arial" w:eastAsia="Times New Roman" w:hAnsi="Arial" w:cs="Arial"/>
          <w:sz w:val="22"/>
          <w:szCs w:val="22"/>
        </w:rPr>
        <w:t xml:space="preserve">El rubro de Cuentas por Pagar Financiamiento Externo refleja </w:t>
      </w:r>
      <w:r w:rsidRPr="00E91C37">
        <w:rPr>
          <w:rFonts w:ascii="Arial" w:eastAsia="Times New Roman" w:hAnsi="Arial" w:cs="Arial"/>
          <w:b/>
          <w:sz w:val="22"/>
          <w:szCs w:val="22"/>
          <w:u w:val="single"/>
        </w:rPr>
        <w:t>un crecimiento neto de ¢642 millones (10%),</w:t>
      </w:r>
      <w:r w:rsidRPr="00E91C37">
        <w:rPr>
          <w:rFonts w:ascii="Arial" w:eastAsia="Times New Roman" w:hAnsi="Arial" w:cs="Arial"/>
          <w:sz w:val="22"/>
          <w:szCs w:val="22"/>
        </w:rPr>
        <w:t xml:space="preserve"> debido a incrementos en los desembolsos de los préstamos externos y la variación del tipo de cambio del dólar.  </w:t>
      </w:r>
    </w:p>
    <w:p w14:paraId="50CE8487" w14:textId="77777777" w:rsidR="00E91C37" w:rsidRPr="00E91C37" w:rsidRDefault="00E91C37" w:rsidP="00E91C37">
      <w:pPr>
        <w:pStyle w:val="WW-Predeterminado"/>
        <w:shd w:val="clear" w:color="auto" w:fill="FFFFFF"/>
        <w:tabs>
          <w:tab w:val="left" w:pos="-4260"/>
        </w:tabs>
        <w:spacing w:line="100" w:lineRule="atLeast"/>
        <w:jc w:val="both"/>
        <w:rPr>
          <w:rFonts w:ascii="Arial" w:eastAsia="Times New Roman" w:hAnsi="Arial" w:cs="Arial"/>
          <w:sz w:val="22"/>
          <w:szCs w:val="22"/>
        </w:rPr>
      </w:pPr>
      <w:r w:rsidRPr="00E91C37">
        <w:rPr>
          <w:rFonts w:ascii="Arial" w:eastAsia="Times New Roman" w:hAnsi="Arial" w:cs="Arial"/>
          <w:b/>
          <w:sz w:val="22"/>
          <w:szCs w:val="22"/>
        </w:rPr>
        <w:t xml:space="preserve">  </w:t>
      </w:r>
      <w:r w:rsidRPr="00E91C37">
        <w:rPr>
          <w:rFonts w:ascii="Arial" w:eastAsia="Times New Roman" w:hAnsi="Arial" w:cs="Arial"/>
          <w:b/>
          <w:color w:val="0000FF"/>
          <w:sz w:val="22"/>
          <w:szCs w:val="22"/>
        </w:rPr>
        <w:t xml:space="preserve">    </w:t>
      </w:r>
    </w:p>
    <w:p w14:paraId="1DBEFCAC" w14:textId="77777777" w:rsidR="00E91C37" w:rsidRPr="00BA3B81" w:rsidRDefault="00E91C37" w:rsidP="00594CE1">
      <w:pPr>
        <w:pStyle w:val="WW-Predeterminado"/>
        <w:numPr>
          <w:ilvl w:val="0"/>
          <w:numId w:val="39"/>
        </w:numPr>
        <w:shd w:val="clear" w:color="auto" w:fill="FFFFFF"/>
        <w:tabs>
          <w:tab w:val="left" w:pos="-4260"/>
          <w:tab w:val="num" w:pos="0"/>
        </w:tabs>
        <w:spacing w:line="100" w:lineRule="atLeast"/>
        <w:jc w:val="both"/>
        <w:rPr>
          <w:rFonts w:ascii="Arial" w:hAnsi="Arial" w:cs="Arial"/>
          <w:sz w:val="22"/>
          <w:szCs w:val="22"/>
        </w:rPr>
      </w:pPr>
      <w:r w:rsidRPr="00E91C37">
        <w:rPr>
          <w:rFonts w:ascii="Arial" w:eastAsia="Times New Roman" w:hAnsi="Arial" w:cs="Arial"/>
          <w:sz w:val="22"/>
          <w:szCs w:val="22"/>
        </w:rPr>
        <w:t>El</w:t>
      </w:r>
      <w:r w:rsidRPr="00E91C37">
        <w:rPr>
          <w:rFonts w:ascii="Arial" w:eastAsia="Andale Sans UI" w:hAnsi="Arial" w:cs="Arial"/>
          <w:sz w:val="22"/>
          <w:szCs w:val="22"/>
          <w:lang w:eastAsia="es-ES" w:bidi="es-ES"/>
        </w:rPr>
        <w:t xml:space="preserve"> rubro de las Cuentas por Pagar Salarios y Cuotas Patronales, muestran </w:t>
      </w:r>
      <w:r w:rsidRPr="00E91C37">
        <w:rPr>
          <w:rFonts w:ascii="Arial" w:eastAsia="Andale Sans UI" w:hAnsi="Arial" w:cs="Arial"/>
          <w:b/>
          <w:bCs/>
          <w:sz w:val="22"/>
          <w:szCs w:val="22"/>
          <w:lang w:eastAsia="es-ES" w:bidi="es-ES"/>
        </w:rPr>
        <w:t>un aumento neto d</w:t>
      </w:r>
      <w:r w:rsidRPr="00E91C37">
        <w:rPr>
          <w:rFonts w:ascii="Arial" w:eastAsia="Andale Sans UI" w:hAnsi="Arial" w:cs="Arial"/>
          <w:b/>
          <w:sz w:val="22"/>
          <w:szCs w:val="22"/>
          <w:lang w:eastAsia="es-ES" w:bidi="es-ES"/>
        </w:rPr>
        <w:t>e ¢127 millones</w:t>
      </w:r>
      <w:r w:rsidRPr="00E91C37">
        <w:rPr>
          <w:rFonts w:ascii="Arial" w:eastAsia="Andale Sans UI" w:hAnsi="Arial" w:cs="Arial"/>
          <w:sz w:val="22"/>
          <w:szCs w:val="22"/>
          <w:lang w:eastAsia="es-ES" w:bidi="es-ES"/>
        </w:rPr>
        <w:t xml:space="preserve"> </w:t>
      </w:r>
      <w:r w:rsidRPr="00E91C37">
        <w:rPr>
          <w:rFonts w:ascii="Arial" w:eastAsia="Andale Sans UI" w:hAnsi="Arial" w:cs="Arial"/>
          <w:b/>
          <w:sz w:val="22"/>
          <w:szCs w:val="22"/>
          <w:lang w:eastAsia="es-ES" w:bidi="es-ES"/>
        </w:rPr>
        <w:t>(2%),</w:t>
      </w:r>
      <w:r w:rsidRPr="00E91C37">
        <w:rPr>
          <w:rFonts w:ascii="Arial" w:eastAsia="Andale Sans UI" w:hAnsi="Arial" w:cs="Arial"/>
          <w:sz w:val="22"/>
          <w:szCs w:val="22"/>
          <w:lang w:eastAsia="es-ES" w:bidi="es-ES"/>
        </w:rPr>
        <w:t xml:space="preserve"> producto del crecimiento normal de la planilla.</w:t>
      </w:r>
    </w:p>
    <w:p w14:paraId="42F00CDB" w14:textId="77777777" w:rsidR="00BA3B81" w:rsidRPr="00BA3B81" w:rsidRDefault="00BA3B81" w:rsidP="00BA3B81">
      <w:pPr>
        <w:pStyle w:val="WW-Predeterminado"/>
        <w:shd w:val="clear" w:color="auto" w:fill="FFFFFF"/>
        <w:tabs>
          <w:tab w:val="left" w:pos="-4260"/>
        </w:tabs>
        <w:spacing w:line="100" w:lineRule="atLeast"/>
        <w:jc w:val="right"/>
        <w:rPr>
          <w:rFonts w:ascii="Arial" w:hAnsi="Arial" w:cs="Arial"/>
          <w:sz w:val="22"/>
          <w:szCs w:val="22"/>
        </w:rPr>
      </w:pPr>
      <w:r>
        <w:rPr>
          <w:rFonts w:ascii="Arial" w:eastAsiaTheme="minorHAnsi" w:hAnsi="Arial" w:cs="Arial"/>
          <w:sz w:val="22"/>
          <w:szCs w:val="22"/>
          <w:lang w:eastAsia="en-US"/>
        </w:rPr>
        <w:t>14</w:t>
      </w:r>
    </w:p>
    <w:p w14:paraId="0E29F425" w14:textId="77777777" w:rsidR="00BA3B81" w:rsidRPr="00E91C37" w:rsidRDefault="00BA3B81" w:rsidP="00BA3B81">
      <w:pPr>
        <w:pStyle w:val="WW-Predeterminado"/>
        <w:shd w:val="clear" w:color="auto" w:fill="FFFFFF"/>
        <w:tabs>
          <w:tab w:val="left" w:pos="-4260"/>
        </w:tabs>
        <w:spacing w:line="100" w:lineRule="atLeast"/>
        <w:jc w:val="both"/>
        <w:rPr>
          <w:rFonts w:ascii="Arial" w:hAnsi="Arial" w:cs="Arial"/>
          <w:sz w:val="22"/>
          <w:szCs w:val="22"/>
        </w:rPr>
      </w:pPr>
    </w:p>
    <w:p w14:paraId="7A87E6F6" w14:textId="77777777" w:rsidR="00E91C37" w:rsidRPr="00E91C37" w:rsidRDefault="00E91C37" w:rsidP="00594CE1">
      <w:pPr>
        <w:pStyle w:val="WW-Predeterminado"/>
        <w:numPr>
          <w:ilvl w:val="0"/>
          <w:numId w:val="39"/>
        </w:numPr>
        <w:tabs>
          <w:tab w:val="left" w:pos="-4260"/>
          <w:tab w:val="num" w:pos="0"/>
        </w:tabs>
        <w:spacing w:line="100" w:lineRule="atLeast"/>
        <w:jc w:val="both"/>
        <w:rPr>
          <w:rFonts w:ascii="Arial" w:hAnsi="Arial" w:cs="Arial"/>
          <w:sz w:val="22"/>
          <w:szCs w:val="22"/>
        </w:rPr>
      </w:pPr>
      <w:r w:rsidRPr="00E91C37">
        <w:rPr>
          <w:rFonts w:ascii="Arial" w:eastAsia="Times New Roman" w:hAnsi="Arial" w:cs="Arial"/>
          <w:sz w:val="22"/>
          <w:szCs w:val="22"/>
        </w:rPr>
        <w:t xml:space="preserve">Cuentas por Pagar Diversas presenta un </w:t>
      </w:r>
      <w:r w:rsidRPr="00E91C37">
        <w:rPr>
          <w:rFonts w:ascii="Arial" w:eastAsia="Times New Roman" w:hAnsi="Arial" w:cs="Arial"/>
          <w:b/>
          <w:sz w:val="22"/>
          <w:szCs w:val="22"/>
          <w:u w:val="single"/>
        </w:rPr>
        <w:t>decrecimiento neto de ¢145 millones (8%).</w:t>
      </w:r>
    </w:p>
    <w:p w14:paraId="4AB45C0F" w14:textId="77777777" w:rsidR="00E91C37" w:rsidRDefault="00E91C37" w:rsidP="00E91C37">
      <w:pPr>
        <w:tabs>
          <w:tab w:val="left" w:pos="-165"/>
          <w:tab w:val="left" w:pos="60"/>
        </w:tabs>
        <w:spacing w:line="100" w:lineRule="atLeast"/>
        <w:rPr>
          <w:rFonts w:ascii="Arial" w:eastAsia="Times New Roman" w:hAnsi="Arial" w:cs="Arial"/>
          <w:b/>
          <w:bCs/>
          <w:color w:val="FF3333"/>
          <w:spacing w:val="-5"/>
          <w:shd w:val="clear" w:color="auto" w:fill="FFFFFF"/>
          <w:lang w:eastAsia="ar-SA"/>
        </w:rPr>
      </w:pPr>
    </w:p>
    <w:p w14:paraId="043C8C7C" w14:textId="77777777" w:rsidR="00E91C37" w:rsidRPr="00E91C37" w:rsidRDefault="00E91C37" w:rsidP="00E91C37">
      <w:pPr>
        <w:tabs>
          <w:tab w:val="left" w:pos="-165"/>
          <w:tab w:val="left" w:pos="60"/>
        </w:tabs>
        <w:spacing w:line="100" w:lineRule="atLeast"/>
        <w:rPr>
          <w:rFonts w:ascii="Arial" w:hAnsi="Arial" w:cs="Arial"/>
          <w:color w:val="FF3333"/>
        </w:rPr>
      </w:pPr>
      <w:r>
        <w:rPr>
          <w:rFonts w:ascii="Arial" w:hAnsi="Arial" w:cs="Arial"/>
          <w:b/>
        </w:rPr>
        <w:t xml:space="preserve">Índice o Razón de Trabajo: </w:t>
      </w:r>
      <w:r w:rsidRPr="00E91C37">
        <w:rPr>
          <w:rFonts w:ascii="Arial" w:hAnsi="Arial" w:cs="Arial"/>
          <w:b/>
          <w:bCs/>
        </w:rPr>
        <w:t xml:space="preserve">Fórmula: </w:t>
      </w:r>
      <w:r w:rsidRPr="00451620">
        <w:rPr>
          <w:rFonts w:ascii="Arial" w:hAnsi="Arial" w:cs="Arial"/>
          <w:i/>
          <w:iCs/>
          <w:sz w:val="20"/>
          <w:szCs w:val="20"/>
        </w:rPr>
        <w:t>(Costos operativos sin depreciación</w:t>
      </w:r>
      <w:r w:rsidRPr="00451620">
        <w:rPr>
          <w:rFonts w:ascii="Arial" w:hAnsi="Arial" w:cs="Arial"/>
          <w:b/>
          <w:i/>
          <w:iCs/>
          <w:sz w:val="20"/>
          <w:szCs w:val="20"/>
        </w:rPr>
        <w:t xml:space="preserve"> / </w:t>
      </w:r>
      <w:r w:rsidRPr="00451620">
        <w:rPr>
          <w:rFonts w:ascii="Arial" w:hAnsi="Arial" w:cs="Arial"/>
          <w:i/>
          <w:iCs/>
          <w:sz w:val="20"/>
          <w:szCs w:val="20"/>
        </w:rPr>
        <w:t xml:space="preserve">ingresos operativos totales) </w:t>
      </w:r>
      <w:r w:rsidRPr="00E91C37">
        <w:rPr>
          <w:rFonts w:ascii="Arial" w:hAnsi="Arial" w:cs="Arial"/>
          <w:i/>
          <w:iCs/>
        </w:rPr>
        <w:t xml:space="preserve">            </w:t>
      </w:r>
    </w:p>
    <w:p w14:paraId="21E62D24" w14:textId="77777777" w:rsidR="00E91C37" w:rsidRPr="00E91C37" w:rsidRDefault="00451620" w:rsidP="00451620">
      <w:pPr>
        <w:shd w:val="clear" w:color="auto" w:fill="FFFFFF"/>
        <w:tabs>
          <w:tab w:val="left" w:pos="-165"/>
          <w:tab w:val="left" w:pos="60"/>
        </w:tabs>
        <w:spacing w:line="100" w:lineRule="atLeast"/>
        <w:rPr>
          <w:rFonts w:ascii="Arial" w:hAnsi="Arial" w:cs="Arial"/>
        </w:rPr>
      </w:pPr>
      <w:r>
        <w:rPr>
          <w:rFonts w:ascii="Arial" w:hAnsi="Arial" w:cs="Arial"/>
        </w:rPr>
        <w:tab/>
      </w:r>
      <w:r w:rsidR="00E91C37" w:rsidRPr="00E91C37">
        <w:rPr>
          <w:rFonts w:ascii="Arial" w:hAnsi="Arial" w:cs="Arial"/>
        </w:rPr>
        <w:t xml:space="preserve">Es la relación porcentual de los costos operativos netos (sin depreciación) a ingresos operativos totales. </w:t>
      </w:r>
    </w:p>
    <w:p w14:paraId="165E8B7B" w14:textId="77777777" w:rsidR="00E91C37" w:rsidRDefault="00E91C37" w:rsidP="00E91C37">
      <w:pPr>
        <w:rPr>
          <w:rFonts w:ascii="Arial" w:hAnsi="Arial" w:cs="Arial"/>
          <w:szCs w:val="20"/>
          <w:lang w:val="es-ES"/>
        </w:rPr>
      </w:pPr>
      <w:r w:rsidRPr="00E91C37">
        <w:rPr>
          <w:rFonts w:ascii="Arial" w:hAnsi="Arial" w:cs="Arial"/>
          <w:noProof/>
          <w:lang w:eastAsia="es-CR"/>
        </w:rPr>
        <w:drawing>
          <wp:anchor distT="0" distB="0" distL="114300" distR="114300" simplePos="0" relativeHeight="251813888" behindDoc="0" locked="0" layoutInCell="1" allowOverlap="1" wp14:anchorId="76B2DBE8" wp14:editId="46AB5522">
            <wp:simplePos x="0" y="0"/>
            <wp:positionH relativeFrom="column">
              <wp:posOffset>2691765</wp:posOffset>
            </wp:positionH>
            <wp:positionV relativeFrom="paragraph">
              <wp:posOffset>292100</wp:posOffset>
            </wp:positionV>
            <wp:extent cx="3124200" cy="2426335"/>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4200" cy="24263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lang w:val="es-ES"/>
        </w:rPr>
        <w:t xml:space="preserve">                                                   </w:t>
      </w:r>
      <w:r w:rsidR="00EB1ACE">
        <w:rPr>
          <w:rFonts w:ascii="Arial" w:hAnsi="Arial" w:cs="Arial"/>
          <w:b/>
          <w:bCs/>
          <w:lang w:val="es-ES"/>
        </w:rPr>
        <w:t xml:space="preserve">                   </w:t>
      </w:r>
      <w:r w:rsidR="00C1632C">
        <w:rPr>
          <w:rFonts w:ascii="Arial" w:hAnsi="Arial" w:cs="Arial"/>
          <w:b/>
          <w:bCs/>
          <w:lang w:val="es-ES"/>
        </w:rPr>
        <w:t xml:space="preserve"> Gráfico 6</w:t>
      </w:r>
    </w:p>
    <w:p w14:paraId="4419B983" w14:textId="77777777" w:rsidR="00E91C37" w:rsidRPr="00E91C37" w:rsidRDefault="00E91C37" w:rsidP="00E91C37">
      <w:pPr>
        <w:shd w:val="clear" w:color="auto" w:fill="FFFFFF"/>
        <w:tabs>
          <w:tab w:val="left" w:pos="-195"/>
          <w:tab w:val="left" w:pos="30"/>
        </w:tabs>
        <w:spacing w:line="100" w:lineRule="atLeast"/>
        <w:ind w:right="-2"/>
        <w:rPr>
          <w:rFonts w:ascii="Arial" w:eastAsia="Times New Roman" w:hAnsi="Arial" w:cs="Arial"/>
        </w:rPr>
      </w:pPr>
      <w:r w:rsidRPr="00E91C37">
        <w:rPr>
          <w:rFonts w:ascii="Arial" w:eastAsia="Times New Roman" w:hAnsi="Arial" w:cs="Arial"/>
        </w:rPr>
        <w:t>Para diciembre del 2018 representa un 75.35%, este indicador refleja una mejora de un 7.5% (6.09 puntos) con relación al mismo período del 2017 (81.44%), lo cual es producto de un crecimiento en los ingresos y no de una disminución en los gastos.  Los Gastos Operativos Netos crecieron solo en un 3.2% (¢3,622 millones), entre tanto los Ingresos Totales crecen en un 11.6% (15,909 millones).</w:t>
      </w:r>
    </w:p>
    <w:p w14:paraId="29EEA98A" w14:textId="77777777" w:rsidR="00E91C37" w:rsidRPr="00E91C37" w:rsidRDefault="00E91C37" w:rsidP="00E91C37">
      <w:pPr>
        <w:spacing w:line="100" w:lineRule="atLeast"/>
        <w:rPr>
          <w:rFonts w:ascii="Arial" w:hAnsi="Arial" w:cs="Arial"/>
        </w:rPr>
      </w:pPr>
      <w:r w:rsidRPr="00E91C37">
        <w:rPr>
          <w:rFonts w:ascii="Arial" w:hAnsi="Arial" w:cs="Arial"/>
          <w:color w:val="000000"/>
        </w:rPr>
        <w:t xml:space="preserve">En el servicio de acueducto el incremento es del 7%, en alcantarillado es del 27.6%.  El servicio de hidrantes presenta un crecimiento del 9.7%, que se generan producto de los aumentos tarifarios aprobados por ARESEP; en términos de consumo se presenta una disminución de mil quinientos noventa y cinco mil novecientos noventa y siete </w:t>
      </w:r>
      <w:r w:rsidRPr="00E91C37">
        <w:rPr>
          <w:rFonts w:ascii="Arial" w:hAnsi="Arial" w:cs="Arial"/>
        </w:rPr>
        <w:t>metros cúbicos, entre un año y otro; lo cual se</w:t>
      </w:r>
      <w:r w:rsidRPr="00E91C37">
        <w:rPr>
          <w:rFonts w:ascii="Arial" w:hAnsi="Arial" w:cs="Arial"/>
          <w:color w:val="000000"/>
        </w:rPr>
        <w:t xml:space="preserve"> atribuye a las campañas de racionamiento en el uso del agua y algunos cortes de servicio realizados en zonas con escasez de agua.</w:t>
      </w:r>
    </w:p>
    <w:p w14:paraId="43EAC988" w14:textId="77777777" w:rsidR="00E91C37" w:rsidRPr="00E91C37" w:rsidRDefault="00E91C37" w:rsidP="00E91C37">
      <w:pPr>
        <w:pStyle w:val="WW-Textoindependiente2"/>
        <w:spacing w:line="100" w:lineRule="atLeast"/>
        <w:rPr>
          <w:rFonts w:ascii="Arial" w:hAnsi="Arial" w:cs="Arial"/>
          <w:sz w:val="22"/>
          <w:szCs w:val="22"/>
        </w:rPr>
      </w:pPr>
      <w:r w:rsidRPr="00E91C37">
        <w:rPr>
          <w:rFonts w:ascii="Arial" w:hAnsi="Arial" w:cs="Arial"/>
          <w:sz w:val="22"/>
          <w:szCs w:val="22"/>
        </w:rPr>
        <w:t xml:space="preserve">Vale indicar que, el incremento en los ingresos operativos de ¢13,931 millones (10.2%), obedece principalmente que </w:t>
      </w:r>
      <w:r w:rsidRPr="00E91C37">
        <w:rPr>
          <w:rFonts w:ascii="Arial" w:eastAsia="Times New Roman" w:hAnsi="Arial" w:cs="Arial"/>
          <w:sz w:val="22"/>
          <w:szCs w:val="22"/>
        </w:rPr>
        <w:t>a partir del 1 de octubre rige un aumento publicado en la Gaceta Nº 179 del 21 de setiembre, el aumento afecta tanto el cargo fijo por la conexión de los servicios, como la tarifa de consumo según los diferentes rangos definidos.  El mayor aumento se da en la tarifa de alcantarillado, la cual se incrementa en un 27.6%.  Para el servicio de acueducto el aumento es de un 7%.</w:t>
      </w:r>
    </w:p>
    <w:p w14:paraId="21423B4D" w14:textId="77777777" w:rsidR="00E91C37" w:rsidRPr="00E91C37" w:rsidRDefault="00E91C37" w:rsidP="00E91C37">
      <w:pPr>
        <w:pStyle w:val="Standard"/>
        <w:shd w:val="clear" w:color="auto" w:fill="FFFFFF"/>
        <w:tabs>
          <w:tab w:val="left" w:pos="-167"/>
          <w:tab w:val="left" w:pos="58"/>
        </w:tabs>
        <w:spacing w:line="100" w:lineRule="atLeast"/>
        <w:ind w:left="14" w:hanging="82"/>
        <w:jc w:val="both"/>
        <w:rPr>
          <w:rFonts w:ascii="Arial" w:hAnsi="Arial" w:cs="Arial"/>
          <w:sz w:val="22"/>
          <w:szCs w:val="22"/>
        </w:rPr>
      </w:pPr>
    </w:p>
    <w:p w14:paraId="04E9CB19" w14:textId="77777777" w:rsidR="00E91C37" w:rsidRDefault="00E91C37" w:rsidP="00E91C37">
      <w:pPr>
        <w:pStyle w:val="Standard"/>
        <w:jc w:val="both"/>
        <w:rPr>
          <w:rFonts w:ascii="Arial" w:hAnsi="Arial" w:cs="Arial"/>
          <w:sz w:val="22"/>
          <w:szCs w:val="22"/>
        </w:rPr>
      </w:pPr>
    </w:p>
    <w:p w14:paraId="1821348F" w14:textId="77777777" w:rsidR="00E91C37" w:rsidRDefault="00E91C37" w:rsidP="00E91C37">
      <w:pPr>
        <w:pStyle w:val="Standard"/>
        <w:jc w:val="both"/>
        <w:rPr>
          <w:rFonts w:ascii="Arial" w:hAnsi="Arial" w:cs="Arial"/>
          <w:sz w:val="22"/>
          <w:szCs w:val="22"/>
        </w:rPr>
      </w:pPr>
    </w:p>
    <w:p w14:paraId="4CEA0773" w14:textId="77777777" w:rsidR="00451620" w:rsidRDefault="00451620" w:rsidP="00E91C37">
      <w:pPr>
        <w:pStyle w:val="Standard"/>
        <w:jc w:val="both"/>
        <w:rPr>
          <w:rFonts w:ascii="Arial" w:hAnsi="Arial" w:cs="Arial"/>
          <w:sz w:val="22"/>
          <w:szCs w:val="22"/>
        </w:rPr>
      </w:pPr>
    </w:p>
    <w:p w14:paraId="492C94C7" w14:textId="77777777" w:rsidR="00451620" w:rsidRDefault="00BA3B81" w:rsidP="00BA3B81">
      <w:pPr>
        <w:pStyle w:val="Standard"/>
        <w:jc w:val="right"/>
        <w:rPr>
          <w:rFonts w:ascii="Arial" w:hAnsi="Arial" w:cs="Arial"/>
          <w:sz w:val="22"/>
          <w:szCs w:val="22"/>
        </w:rPr>
      </w:pPr>
      <w:r>
        <w:rPr>
          <w:rFonts w:ascii="Arial" w:hAnsi="Arial" w:cs="Arial"/>
          <w:sz w:val="22"/>
          <w:szCs w:val="22"/>
        </w:rPr>
        <w:t>15</w:t>
      </w:r>
    </w:p>
    <w:p w14:paraId="4E547381" w14:textId="77777777" w:rsidR="00E91C37" w:rsidRPr="00E91C37" w:rsidRDefault="00E91C37" w:rsidP="00E91C37">
      <w:pPr>
        <w:pStyle w:val="Standard"/>
        <w:jc w:val="both"/>
        <w:rPr>
          <w:rFonts w:ascii="Arial" w:hAnsi="Arial" w:cs="Arial"/>
          <w:sz w:val="22"/>
          <w:szCs w:val="22"/>
        </w:rPr>
      </w:pPr>
      <w:r w:rsidRPr="00E91C37">
        <w:rPr>
          <w:rFonts w:ascii="Arial" w:hAnsi="Arial" w:cs="Arial"/>
          <w:sz w:val="22"/>
          <w:szCs w:val="22"/>
        </w:rPr>
        <w:lastRenderedPageBreak/>
        <w:t xml:space="preserve">Dentro de los costos las variaciones más relevantes son las siguientes: Gastos de Salarios y Cargas Sociales aumenta en ¢1,677 millones (3%), Servicios Públicos crece en ¢898 millones (7%), Reparación y Mantenimiento disminuye en ¢218 millones (3%), Consultorías crece en ¢1,598 millones (85%), </w:t>
      </w:r>
      <w:r w:rsidRPr="00E91C37">
        <w:rPr>
          <w:rFonts w:ascii="Arial" w:hAnsi="Arial" w:cs="Arial"/>
          <w:sz w:val="22"/>
          <w:szCs w:val="22"/>
          <w:shd w:val="clear" w:color="auto" w:fill="FFFFFF"/>
        </w:rPr>
        <w:t xml:space="preserve">dentro de este rubro están las siguientes consultorías que representan las de mayor valor, pagadas en el 2018: </w:t>
      </w:r>
      <w:r w:rsidRPr="00E91C37">
        <w:rPr>
          <w:rFonts w:ascii="Arial" w:hAnsi="Arial" w:cs="Arial"/>
          <w:b/>
          <w:i/>
          <w:sz w:val="22"/>
          <w:szCs w:val="22"/>
          <w:shd w:val="clear" w:color="auto" w:fill="FFFFFF"/>
        </w:rPr>
        <w:t>a)</w:t>
      </w:r>
      <w:r w:rsidRPr="00E91C37">
        <w:rPr>
          <w:rFonts w:ascii="Arial" w:hAnsi="Arial" w:cs="Arial"/>
          <w:sz w:val="22"/>
          <w:szCs w:val="22"/>
          <w:shd w:val="clear" w:color="auto" w:fill="FFFFFF"/>
        </w:rPr>
        <w:t xml:space="preserve"> </w:t>
      </w:r>
      <w:r w:rsidRPr="00E91C37">
        <w:rPr>
          <w:rFonts w:ascii="Arial" w:hAnsi="Arial" w:cs="Arial"/>
          <w:i/>
          <w:sz w:val="22"/>
          <w:szCs w:val="22"/>
          <w:shd w:val="clear" w:color="auto" w:fill="FFFFFF"/>
        </w:rPr>
        <w:t>Diseño del edificio de la GAM</w:t>
      </w:r>
      <w:r w:rsidRPr="00E91C37">
        <w:rPr>
          <w:rFonts w:ascii="Arial" w:hAnsi="Arial" w:cs="Arial"/>
          <w:sz w:val="22"/>
          <w:szCs w:val="22"/>
          <w:shd w:val="clear" w:color="auto" w:fill="FFFFFF"/>
        </w:rPr>
        <w:t xml:space="preserve"> ¢1.001 millones, </w:t>
      </w:r>
      <w:r w:rsidRPr="00E91C37">
        <w:rPr>
          <w:rFonts w:ascii="Arial" w:hAnsi="Arial" w:cs="Arial"/>
          <w:b/>
          <w:i/>
          <w:sz w:val="22"/>
          <w:szCs w:val="22"/>
          <w:shd w:val="clear" w:color="auto" w:fill="FFFFFF"/>
        </w:rPr>
        <w:t>b)</w:t>
      </w:r>
      <w:r w:rsidRPr="00E91C37">
        <w:rPr>
          <w:rFonts w:ascii="Arial" w:hAnsi="Arial" w:cs="Arial"/>
          <w:i/>
          <w:sz w:val="22"/>
          <w:szCs w:val="22"/>
          <w:shd w:val="clear" w:color="auto" w:fill="FFFFFF"/>
        </w:rPr>
        <w:t xml:space="preserve"> Análisis de la plataforma tecnológica de AyA</w:t>
      </w:r>
      <w:r w:rsidRPr="00E91C37">
        <w:rPr>
          <w:rFonts w:ascii="Arial" w:hAnsi="Arial" w:cs="Arial"/>
          <w:sz w:val="22"/>
          <w:szCs w:val="22"/>
          <w:shd w:val="clear" w:color="auto" w:fill="FFFFFF"/>
        </w:rPr>
        <w:t xml:space="preserve"> ¢141.35 millones. </w:t>
      </w:r>
      <w:r w:rsidRPr="00E91C37">
        <w:rPr>
          <w:rFonts w:ascii="Arial" w:hAnsi="Arial" w:cs="Arial"/>
          <w:b/>
          <w:i/>
          <w:sz w:val="22"/>
          <w:szCs w:val="22"/>
          <w:shd w:val="clear" w:color="auto" w:fill="FFFFFF"/>
        </w:rPr>
        <w:t>c)</w:t>
      </w:r>
      <w:r w:rsidRPr="00E91C37">
        <w:rPr>
          <w:rFonts w:ascii="Arial" w:hAnsi="Arial" w:cs="Arial"/>
          <w:i/>
          <w:sz w:val="22"/>
          <w:szCs w:val="22"/>
          <w:shd w:val="clear" w:color="auto" w:fill="FFFFFF"/>
        </w:rPr>
        <w:t xml:space="preserve"> Estudio de inspección electromecánica</w:t>
      </w:r>
      <w:r w:rsidRPr="00E91C37">
        <w:rPr>
          <w:rFonts w:ascii="Arial" w:hAnsi="Arial" w:cs="Arial"/>
          <w:sz w:val="22"/>
          <w:szCs w:val="22"/>
          <w:shd w:val="clear" w:color="auto" w:fill="FFFFFF"/>
        </w:rPr>
        <w:t xml:space="preserve"> ¢180.04 millones; </w:t>
      </w:r>
      <w:r w:rsidRPr="00E91C37">
        <w:rPr>
          <w:rFonts w:ascii="Arial" w:hAnsi="Arial" w:cs="Arial"/>
          <w:b/>
          <w:i/>
          <w:sz w:val="22"/>
          <w:szCs w:val="22"/>
          <w:shd w:val="clear" w:color="auto" w:fill="FFFFFF"/>
        </w:rPr>
        <w:t>d)</w:t>
      </w:r>
      <w:r w:rsidRPr="00E91C37">
        <w:rPr>
          <w:rFonts w:ascii="Arial" w:hAnsi="Arial" w:cs="Arial"/>
          <w:i/>
          <w:sz w:val="22"/>
          <w:szCs w:val="22"/>
          <w:shd w:val="clear" w:color="auto" w:fill="FFFFFF"/>
        </w:rPr>
        <w:t xml:space="preserve"> Diagnóstico de ASADAS para fortalecer sus capacidades y lograr que brinden un mejor servicio</w:t>
      </w:r>
      <w:r w:rsidRPr="00E91C37">
        <w:rPr>
          <w:rFonts w:ascii="Arial" w:hAnsi="Arial" w:cs="Arial"/>
          <w:sz w:val="22"/>
          <w:szCs w:val="22"/>
          <w:shd w:val="clear" w:color="auto" w:fill="FFFFFF"/>
        </w:rPr>
        <w:t xml:space="preserve"> ¢263.26 millones, </w:t>
      </w:r>
      <w:r w:rsidRPr="00E91C37">
        <w:rPr>
          <w:rFonts w:ascii="Arial" w:hAnsi="Arial" w:cs="Arial"/>
          <w:b/>
          <w:i/>
          <w:sz w:val="22"/>
          <w:szCs w:val="22"/>
          <w:shd w:val="clear" w:color="auto" w:fill="FFFFFF"/>
        </w:rPr>
        <w:t>e)</w:t>
      </w:r>
      <w:r w:rsidRPr="00E91C37">
        <w:rPr>
          <w:rFonts w:ascii="Arial" w:hAnsi="Arial" w:cs="Arial"/>
          <w:i/>
          <w:sz w:val="22"/>
          <w:szCs w:val="22"/>
          <w:shd w:val="clear" w:color="auto" w:fill="FFFFFF"/>
        </w:rPr>
        <w:t xml:space="preserve"> Mantenimiento y Desarrollo de Sistemas</w:t>
      </w:r>
      <w:r w:rsidRPr="00E91C37">
        <w:rPr>
          <w:rFonts w:ascii="Arial" w:hAnsi="Arial" w:cs="Arial"/>
          <w:sz w:val="22"/>
          <w:szCs w:val="22"/>
          <w:shd w:val="clear" w:color="auto" w:fill="FFFFFF"/>
        </w:rPr>
        <w:t xml:space="preserve"> (incluye el de facturación electrónica) ¢344.87 millones.  El gasto p</w:t>
      </w:r>
      <w:r w:rsidRPr="00E91C37">
        <w:rPr>
          <w:rFonts w:ascii="Arial" w:hAnsi="Arial" w:cs="Arial"/>
          <w:sz w:val="22"/>
          <w:szCs w:val="22"/>
        </w:rPr>
        <w:t xml:space="preserve">ublicidad disminuye en ¢296 millones (24%), Servicios Contratados decrece en ¢169 millones (2%), Otros Servicios no Personales aumenta en ¢264 millones (33%), Materiales y Suministros con un alza de ¢269 millones (5%), Hidrómetros y Cajas muestra un decrecimiento de ¢690 millones (59%), y por último la cuenta Otros Gastos aumenta en ¢212 millones (10%). </w:t>
      </w:r>
    </w:p>
    <w:p w14:paraId="18DFF435" w14:textId="77777777" w:rsidR="00E91C37" w:rsidRPr="00E91C37" w:rsidRDefault="00E91C37" w:rsidP="00E91C37">
      <w:pPr>
        <w:pStyle w:val="Standard"/>
        <w:shd w:val="clear" w:color="auto" w:fill="FFFFFF"/>
        <w:tabs>
          <w:tab w:val="left" w:pos="-167"/>
          <w:tab w:val="left" w:pos="58"/>
        </w:tabs>
        <w:spacing w:line="100" w:lineRule="atLeast"/>
        <w:ind w:left="14" w:hanging="82"/>
        <w:jc w:val="both"/>
        <w:rPr>
          <w:rFonts w:ascii="Arial" w:hAnsi="Arial" w:cs="Arial"/>
          <w:sz w:val="22"/>
          <w:szCs w:val="22"/>
        </w:rPr>
      </w:pPr>
    </w:p>
    <w:p w14:paraId="62A84EA6" w14:textId="77777777" w:rsidR="00E91C37" w:rsidRPr="00451620" w:rsidRDefault="00E91C37" w:rsidP="00451620">
      <w:pPr>
        <w:pStyle w:val="Standard"/>
        <w:shd w:val="clear" w:color="auto" w:fill="FFFFFF"/>
        <w:tabs>
          <w:tab w:val="left" w:pos="-167"/>
          <w:tab w:val="left" w:pos="58"/>
        </w:tabs>
        <w:spacing w:line="100" w:lineRule="atLeast"/>
        <w:ind w:left="14" w:hanging="82"/>
        <w:jc w:val="both"/>
        <w:rPr>
          <w:rFonts w:ascii="Arial" w:hAnsi="Arial" w:cs="Arial"/>
          <w:sz w:val="22"/>
          <w:szCs w:val="22"/>
        </w:rPr>
      </w:pPr>
      <w:r w:rsidRPr="00E91C37">
        <w:rPr>
          <w:rFonts w:ascii="Arial" w:hAnsi="Arial" w:cs="Arial"/>
          <w:sz w:val="22"/>
          <w:szCs w:val="22"/>
        </w:rPr>
        <w:t xml:space="preserve"> </w:t>
      </w:r>
    </w:p>
    <w:p w14:paraId="6DDE1563" w14:textId="77777777" w:rsidR="00E91C37" w:rsidRPr="00451620" w:rsidRDefault="00E91C37" w:rsidP="00451620">
      <w:pPr>
        <w:pStyle w:val="Ttulo1"/>
        <w:rPr>
          <w:rFonts w:ascii="Arial" w:hAnsi="Arial" w:cs="Arial"/>
          <w:b w:val="0"/>
          <w:bCs/>
          <w:sz w:val="22"/>
          <w:szCs w:val="22"/>
        </w:rPr>
      </w:pPr>
      <w:r w:rsidRPr="00451620">
        <w:rPr>
          <w:rFonts w:ascii="Arial" w:hAnsi="Arial" w:cs="Arial"/>
          <w:sz w:val="22"/>
          <w:szCs w:val="22"/>
        </w:rPr>
        <w:t>C</w:t>
      </w:r>
      <w:r w:rsidR="00451620" w:rsidRPr="00451620">
        <w:rPr>
          <w:rFonts w:ascii="Arial" w:hAnsi="Arial" w:cs="Arial"/>
          <w:sz w:val="22"/>
          <w:szCs w:val="22"/>
        </w:rPr>
        <w:t xml:space="preserve">ostos de Personal: </w:t>
      </w:r>
      <w:r w:rsidRPr="00451620">
        <w:rPr>
          <w:rFonts w:ascii="Arial" w:hAnsi="Arial" w:cs="Arial"/>
          <w:bCs/>
          <w:sz w:val="20"/>
        </w:rPr>
        <w:t xml:space="preserve">Fórmula: </w:t>
      </w:r>
      <w:r w:rsidRPr="00C1632C">
        <w:rPr>
          <w:rFonts w:ascii="Arial" w:hAnsi="Arial" w:cs="Arial"/>
          <w:b w:val="0"/>
          <w:i/>
          <w:sz w:val="20"/>
        </w:rPr>
        <w:t>(Costos personal / costo de operación sin depreciación)</w:t>
      </w:r>
      <w:r w:rsidRPr="00E91C37">
        <w:rPr>
          <w:rFonts w:ascii="Arial" w:hAnsi="Arial" w:cs="Arial"/>
          <w:i/>
        </w:rPr>
        <w:t xml:space="preserve"> </w:t>
      </w:r>
    </w:p>
    <w:p w14:paraId="7BE7640F" w14:textId="77777777" w:rsidR="00C1632C" w:rsidRDefault="00C1632C" w:rsidP="00C1632C">
      <w:pPr>
        <w:rPr>
          <w:rFonts w:ascii="Arial" w:hAnsi="Arial" w:cs="Arial"/>
          <w:szCs w:val="20"/>
          <w:lang w:val="es-ES"/>
        </w:rPr>
      </w:pPr>
      <w:r w:rsidRPr="00E91C37">
        <w:rPr>
          <w:rFonts w:ascii="Arial" w:hAnsi="Arial" w:cs="Arial"/>
          <w:noProof/>
          <w:lang w:eastAsia="es-CR"/>
        </w:rPr>
        <w:drawing>
          <wp:anchor distT="0" distB="0" distL="114300" distR="114300" simplePos="0" relativeHeight="251814912" behindDoc="0" locked="0" layoutInCell="1" allowOverlap="1" wp14:anchorId="35EDCAF3" wp14:editId="7E8F9EB2">
            <wp:simplePos x="0" y="0"/>
            <wp:positionH relativeFrom="column">
              <wp:posOffset>-5715</wp:posOffset>
            </wp:positionH>
            <wp:positionV relativeFrom="paragraph">
              <wp:posOffset>498475</wp:posOffset>
            </wp:positionV>
            <wp:extent cx="3223260" cy="2273935"/>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3260" cy="22739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lang w:val="es-ES"/>
        </w:rPr>
        <w:t>Gráfico 7</w:t>
      </w:r>
    </w:p>
    <w:p w14:paraId="76F67F45" w14:textId="77777777" w:rsidR="00E91C37" w:rsidRPr="00E91C37" w:rsidRDefault="00E91C37" w:rsidP="00E91C37">
      <w:pPr>
        <w:shd w:val="clear" w:color="auto" w:fill="FFFFFF"/>
        <w:tabs>
          <w:tab w:val="left" w:pos="-165"/>
          <w:tab w:val="left" w:pos="60"/>
        </w:tabs>
        <w:spacing w:line="100" w:lineRule="atLeast"/>
        <w:rPr>
          <w:rFonts w:ascii="Arial" w:hAnsi="Arial" w:cs="Arial"/>
          <w:spacing w:val="-4"/>
        </w:rPr>
      </w:pPr>
      <w:r w:rsidRPr="00E91C37">
        <w:rPr>
          <w:rFonts w:ascii="Arial" w:hAnsi="Arial" w:cs="Arial"/>
          <w:spacing w:val="-4"/>
        </w:rPr>
        <w:t>Este indicador muestra la relación porcentual del costo de la planilla total de AyA con relación a los costos de operación, sin incluir la depreciación</w:t>
      </w:r>
      <w:r w:rsidRPr="00E91C37">
        <w:rPr>
          <w:rFonts w:ascii="Arial" w:hAnsi="Arial" w:cs="Arial"/>
          <w:color w:val="FF3333"/>
          <w:spacing w:val="-4"/>
        </w:rPr>
        <w:t xml:space="preserve">. </w:t>
      </w:r>
      <w:r w:rsidRPr="00E91C37">
        <w:rPr>
          <w:rFonts w:ascii="Arial" w:hAnsi="Arial" w:cs="Arial"/>
          <w:color w:val="FF3333"/>
        </w:rPr>
        <w:t xml:space="preserve">  </w:t>
      </w:r>
    </w:p>
    <w:p w14:paraId="697D6297" w14:textId="77777777" w:rsidR="00E91C37" w:rsidRPr="00E91C37" w:rsidRDefault="00E91C37" w:rsidP="00E91C37">
      <w:pPr>
        <w:pStyle w:val="WW-Predeterminado"/>
        <w:shd w:val="clear" w:color="auto" w:fill="FFFFFF"/>
        <w:tabs>
          <w:tab w:val="left" w:pos="720"/>
        </w:tabs>
        <w:spacing w:line="100" w:lineRule="atLeast"/>
        <w:ind w:right="17"/>
        <w:jc w:val="both"/>
        <w:rPr>
          <w:rFonts w:ascii="Arial" w:hAnsi="Arial" w:cs="Arial"/>
          <w:sz w:val="22"/>
          <w:szCs w:val="22"/>
        </w:rPr>
      </w:pPr>
      <w:r w:rsidRPr="00E91C37">
        <w:rPr>
          <w:rFonts w:ascii="Arial" w:eastAsia="Times New Roman" w:hAnsi="Arial" w:cs="Arial"/>
          <w:spacing w:val="-4"/>
          <w:sz w:val="22"/>
          <w:szCs w:val="22"/>
        </w:rPr>
        <w:t xml:space="preserve">Al 31 de diciembre del 2018 este indicador es de un 48.75% del Costo de Personal con relación a los Gastos Operativos sin Depreciación. </w:t>
      </w:r>
      <w:r w:rsidRPr="00E91C37">
        <w:rPr>
          <w:rFonts w:ascii="Arial" w:eastAsia="Times New Roman" w:hAnsi="Arial" w:cs="Arial"/>
          <w:color w:val="FF3333"/>
          <w:spacing w:val="-4"/>
          <w:sz w:val="22"/>
          <w:szCs w:val="22"/>
        </w:rPr>
        <w:t xml:space="preserve"> </w:t>
      </w:r>
      <w:r w:rsidRPr="00E91C37">
        <w:rPr>
          <w:rFonts w:ascii="Arial" w:eastAsia="Times New Roman" w:hAnsi="Arial" w:cs="Arial"/>
          <w:spacing w:val="-4"/>
          <w:sz w:val="22"/>
          <w:szCs w:val="22"/>
        </w:rPr>
        <w:t xml:space="preserve">Este indicador decrece favorablemente en un 0.2% (0.08 puntos) con respecto al mismo período del 2017 que fue de 48.83%.  </w:t>
      </w:r>
    </w:p>
    <w:p w14:paraId="0A3C23AF" w14:textId="77777777" w:rsidR="00E91C37" w:rsidRPr="00E91C37" w:rsidRDefault="00E91C37" w:rsidP="00E91C37">
      <w:pPr>
        <w:pStyle w:val="WW-Predeterminado"/>
        <w:tabs>
          <w:tab w:val="left" w:pos="720"/>
        </w:tabs>
        <w:ind w:right="18"/>
        <w:jc w:val="both"/>
        <w:rPr>
          <w:rFonts w:ascii="Arial" w:hAnsi="Arial" w:cs="Arial"/>
          <w:sz w:val="22"/>
          <w:szCs w:val="22"/>
        </w:rPr>
      </w:pPr>
    </w:p>
    <w:p w14:paraId="4031A879" w14:textId="77777777" w:rsidR="00E91C37" w:rsidRPr="00E91C37" w:rsidRDefault="00E91C37" w:rsidP="00E91C37">
      <w:pPr>
        <w:pStyle w:val="WW-Predeterminado"/>
        <w:tabs>
          <w:tab w:val="left" w:pos="720"/>
        </w:tabs>
        <w:ind w:right="17"/>
        <w:jc w:val="both"/>
        <w:rPr>
          <w:rFonts w:ascii="Arial" w:eastAsia="Times New Roman" w:hAnsi="Arial" w:cs="Arial"/>
          <w:spacing w:val="-4"/>
          <w:sz w:val="22"/>
          <w:szCs w:val="22"/>
        </w:rPr>
      </w:pPr>
      <w:r w:rsidRPr="00E91C37">
        <w:rPr>
          <w:rFonts w:ascii="Arial" w:eastAsia="Times New Roman" w:hAnsi="Arial" w:cs="Arial"/>
          <w:spacing w:val="-4"/>
          <w:sz w:val="22"/>
          <w:szCs w:val="22"/>
        </w:rPr>
        <w:t>Vale indicar que, para el I semestre del 2017 se decretó un aumento del 0.76% y para el II semestre del 2017 hubo un alza salarial del 0,75%, mientras que para el I semestre del 2018 se decretó un aumento del 1.55% y para II semestre el incremento fue de ¢3.750 colones a la base.</w:t>
      </w:r>
    </w:p>
    <w:p w14:paraId="4C18F0C4" w14:textId="77777777" w:rsidR="00E91C37" w:rsidRPr="00E91C37" w:rsidRDefault="00E91C37" w:rsidP="00E91C37">
      <w:pPr>
        <w:pStyle w:val="WW-Predeterminado"/>
        <w:tabs>
          <w:tab w:val="left" w:pos="720"/>
        </w:tabs>
        <w:ind w:right="17"/>
        <w:jc w:val="both"/>
        <w:rPr>
          <w:rFonts w:ascii="Arial" w:eastAsia="Times New Roman" w:hAnsi="Arial" w:cs="Arial"/>
          <w:spacing w:val="-4"/>
          <w:sz w:val="22"/>
          <w:szCs w:val="22"/>
        </w:rPr>
      </w:pPr>
    </w:p>
    <w:p w14:paraId="73D95BA1" w14:textId="77777777" w:rsidR="00E91C37" w:rsidRPr="00E91C37" w:rsidRDefault="00E91C37" w:rsidP="00E91C37">
      <w:pPr>
        <w:pStyle w:val="WW-Predeterminado"/>
        <w:tabs>
          <w:tab w:val="left" w:pos="720"/>
        </w:tabs>
        <w:ind w:right="17"/>
        <w:jc w:val="both"/>
        <w:rPr>
          <w:rFonts w:ascii="Arial" w:eastAsia="Times New Roman" w:hAnsi="Arial" w:cs="Arial"/>
          <w:spacing w:val="-4"/>
          <w:sz w:val="22"/>
          <w:szCs w:val="22"/>
        </w:rPr>
      </w:pPr>
    </w:p>
    <w:p w14:paraId="749D13D0" w14:textId="77777777" w:rsidR="00E91C37" w:rsidRPr="00E91C37" w:rsidRDefault="00E91C37" w:rsidP="00E91C37">
      <w:pPr>
        <w:pStyle w:val="WW-Predeterminado"/>
        <w:tabs>
          <w:tab w:val="left" w:pos="720"/>
        </w:tabs>
        <w:ind w:right="17"/>
        <w:jc w:val="both"/>
        <w:rPr>
          <w:rFonts w:ascii="Arial" w:eastAsia="Times New Roman" w:hAnsi="Arial" w:cs="Arial"/>
          <w:spacing w:val="-4"/>
          <w:sz w:val="22"/>
          <w:szCs w:val="22"/>
        </w:rPr>
      </w:pPr>
    </w:p>
    <w:p w14:paraId="490E1B28" w14:textId="77777777" w:rsidR="00E91C37" w:rsidRPr="00E91C37" w:rsidRDefault="00E91C37" w:rsidP="00E91C37">
      <w:pPr>
        <w:pStyle w:val="WW-Predeterminado"/>
        <w:tabs>
          <w:tab w:val="left" w:pos="720"/>
        </w:tabs>
        <w:ind w:right="17"/>
        <w:jc w:val="both"/>
        <w:rPr>
          <w:rFonts w:ascii="Arial" w:eastAsia="Times New Roman" w:hAnsi="Arial" w:cs="Arial"/>
          <w:spacing w:val="-4"/>
          <w:sz w:val="22"/>
          <w:szCs w:val="22"/>
        </w:rPr>
      </w:pPr>
    </w:p>
    <w:p w14:paraId="3D34AC77" w14:textId="77777777" w:rsidR="00E91C37" w:rsidRDefault="00E91C37" w:rsidP="00E91C37">
      <w:pPr>
        <w:pStyle w:val="WW-Predeterminado"/>
        <w:tabs>
          <w:tab w:val="left" w:pos="720"/>
        </w:tabs>
        <w:ind w:right="17"/>
        <w:jc w:val="both"/>
        <w:rPr>
          <w:rFonts w:ascii="Arial" w:eastAsia="Times New Roman" w:hAnsi="Arial" w:cs="Arial"/>
          <w:spacing w:val="-4"/>
          <w:sz w:val="22"/>
          <w:szCs w:val="22"/>
        </w:rPr>
      </w:pPr>
    </w:p>
    <w:p w14:paraId="28C93064" w14:textId="77777777" w:rsidR="00BA3B81" w:rsidRDefault="00BA3B81" w:rsidP="00E91C37">
      <w:pPr>
        <w:pStyle w:val="WW-Predeterminado"/>
        <w:tabs>
          <w:tab w:val="left" w:pos="720"/>
        </w:tabs>
        <w:ind w:right="17"/>
        <w:jc w:val="both"/>
        <w:rPr>
          <w:rFonts w:ascii="Arial" w:eastAsia="Times New Roman" w:hAnsi="Arial" w:cs="Arial"/>
          <w:spacing w:val="-4"/>
          <w:sz w:val="22"/>
          <w:szCs w:val="22"/>
        </w:rPr>
      </w:pPr>
    </w:p>
    <w:p w14:paraId="49523A07" w14:textId="77777777" w:rsidR="00BA3B81" w:rsidRPr="00E91C37" w:rsidRDefault="00BA3B81" w:rsidP="00E91C37">
      <w:pPr>
        <w:pStyle w:val="WW-Predeterminado"/>
        <w:tabs>
          <w:tab w:val="left" w:pos="720"/>
        </w:tabs>
        <w:ind w:right="17"/>
        <w:jc w:val="both"/>
        <w:rPr>
          <w:rFonts w:ascii="Arial" w:eastAsia="Times New Roman" w:hAnsi="Arial" w:cs="Arial"/>
          <w:spacing w:val="-4"/>
          <w:sz w:val="22"/>
          <w:szCs w:val="22"/>
        </w:rPr>
      </w:pPr>
    </w:p>
    <w:p w14:paraId="7289063E" w14:textId="77777777" w:rsidR="00E91C37" w:rsidRPr="00E91C37" w:rsidRDefault="00BA3B81" w:rsidP="00BA3B81">
      <w:pPr>
        <w:pStyle w:val="WW-Predeterminado"/>
        <w:tabs>
          <w:tab w:val="left" w:pos="720"/>
        </w:tabs>
        <w:ind w:right="17"/>
        <w:jc w:val="right"/>
        <w:rPr>
          <w:rFonts w:ascii="Arial" w:eastAsia="Times New Roman" w:hAnsi="Arial" w:cs="Arial"/>
          <w:spacing w:val="-4"/>
          <w:sz w:val="22"/>
          <w:szCs w:val="22"/>
        </w:rPr>
      </w:pPr>
      <w:r>
        <w:rPr>
          <w:rFonts w:ascii="Arial" w:eastAsia="Times New Roman" w:hAnsi="Arial" w:cs="Arial"/>
          <w:spacing w:val="-4"/>
          <w:sz w:val="22"/>
          <w:szCs w:val="22"/>
        </w:rPr>
        <w:t>16</w:t>
      </w:r>
    </w:p>
    <w:p w14:paraId="0DC1615A" w14:textId="77777777" w:rsidR="00E91C37" w:rsidRPr="00E91C37" w:rsidRDefault="00E91C37" w:rsidP="00E91C37">
      <w:pPr>
        <w:pStyle w:val="WW-Predeterminado"/>
        <w:tabs>
          <w:tab w:val="left" w:pos="720"/>
        </w:tabs>
        <w:ind w:right="17"/>
        <w:jc w:val="both"/>
        <w:rPr>
          <w:rFonts w:ascii="Arial" w:eastAsia="Times New Roman" w:hAnsi="Arial" w:cs="Arial"/>
          <w:spacing w:val="-4"/>
          <w:sz w:val="22"/>
          <w:szCs w:val="22"/>
        </w:rPr>
      </w:pPr>
    </w:p>
    <w:p w14:paraId="4EC071AB" w14:textId="77777777" w:rsidR="00E91C37" w:rsidRPr="00C1632C" w:rsidRDefault="00E91C37" w:rsidP="00E91C37">
      <w:pPr>
        <w:pStyle w:val="Textoindependiente"/>
        <w:rPr>
          <w:rFonts w:ascii="Arial" w:hAnsi="Arial" w:cs="Arial"/>
          <w:b/>
          <w:sz w:val="22"/>
          <w:szCs w:val="22"/>
        </w:rPr>
      </w:pPr>
      <w:r w:rsidRPr="00E91C37">
        <w:rPr>
          <w:rFonts w:ascii="Arial" w:hAnsi="Arial" w:cs="Arial"/>
          <w:b/>
          <w:sz w:val="22"/>
          <w:szCs w:val="22"/>
        </w:rPr>
        <w:t>Tasa de Retor</w:t>
      </w:r>
      <w:r w:rsidR="00C1632C">
        <w:rPr>
          <w:rFonts w:ascii="Arial" w:hAnsi="Arial" w:cs="Arial"/>
          <w:b/>
          <w:sz w:val="22"/>
          <w:szCs w:val="22"/>
        </w:rPr>
        <w:t xml:space="preserve">no (Rentabilidad del Activo):  </w:t>
      </w:r>
      <w:r w:rsidRPr="00C1632C">
        <w:rPr>
          <w:rFonts w:ascii="Arial" w:hAnsi="Arial" w:cs="Arial"/>
          <w:b/>
          <w:bCs/>
        </w:rPr>
        <w:t>Fórmula:</w:t>
      </w:r>
      <w:r w:rsidRPr="00C1632C">
        <w:rPr>
          <w:rFonts w:ascii="Arial" w:hAnsi="Arial" w:cs="Arial"/>
          <w:b/>
        </w:rPr>
        <w:t xml:space="preserve"> </w:t>
      </w:r>
      <w:r w:rsidRPr="00C1632C">
        <w:rPr>
          <w:rFonts w:ascii="Arial" w:hAnsi="Arial" w:cs="Arial"/>
          <w:i/>
        </w:rPr>
        <w:t>Utilidad o Pérdida Neta / Propiedad, Planta y Equipo (PPE).</w:t>
      </w:r>
    </w:p>
    <w:p w14:paraId="47D57AE6" w14:textId="77777777" w:rsidR="00C1632C" w:rsidRDefault="00C1632C" w:rsidP="00E91C37">
      <w:pPr>
        <w:pStyle w:val="Textoindependiente"/>
        <w:jc w:val="both"/>
        <w:rPr>
          <w:rFonts w:ascii="Arial" w:hAnsi="Arial" w:cs="Arial"/>
          <w:sz w:val="22"/>
          <w:szCs w:val="22"/>
        </w:rPr>
      </w:pPr>
    </w:p>
    <w:p w14:paraId="63D891DC" w14:textId="77777777" w:rsidR="00C1632C" w:rsidRDefault="00C1632C" w:rsidP="00C1632C">
      <w:pPr>
        <w:rPr>
          <w:rFonts w:ascii="Arial" w:hAnsi="Arial" w:cs="Arial"/>
          <w:szCs w:val="20"/>
          <w:lang w:val="es-ES"/>
        </w:rPr>
      </w:pPr>
      <w:r w:rsidRPr="00E91C37">
        <w:rPr>
          <w:rFonts w:ascii="Arial" w:hAnsi="Arial" w:cs="Arial"/>
          <w:noProof/>
          <w:lang w:eastAsia="es-CR"/>
        </w:rPr>
        <w:drawing>
          <wp:anchor distT="0" distB="0" distL="114300" distR="114300" simplePos="0" relativeHeight="251815936" behindDoc="0" locked="0" layoutInCell="1" allowOverlap="1" wp14:anchorId="66C80B5F" wp14:editId="23692D54">
            <wp:simplePos x="0" y="0"/>
            <wp:positionH relativeFrom="column">
              <wp:posOffset>2798445</wp:posOffset>
            </wp:positionH>
            <wp:positionV relativeFrom="paragraph">
              <wp:posOffset>377825</wp:posOffset>
            </wp:positionV>
            <wp:extent cx="3108960" cy="2270760"/>
            <wp:effectExtent l="0" t="0" r="0"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8960" cy="22707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lang w:val="es-ES"/>
        </w:rPr>
        <w:t xml:space="preserve">                                                                    </w:t>
      </w:r>
      <w:r w:rsidR="00EB1ACE">
        <w:rPr>
          <w:rFonts w:ascii="Arial" w:hAnsi="Arial" w:cs="Arial"/>
          <w:b/>
          <w:bCs/>
          <w:lang w:val="es-ES"/>
        </w:rPr>
        <w:t xml:space="preserve">    </w:t>
      </w:r>
      <w:r>
        <w:rPr>
          <w:rFonts w:ascii="Arial" w:hAnsi="Arial" w:cs="Arial"/>
          <w:b/>
          <w:bCs/>
          <w:lang w:val="es-ES"/>
        </w:rPr>
        <w:t xml:space="preserve"> Gráfico 8</w:t>
      </w:r>
    </w:p>
    <w:p w14:paraId="066089A1" w14:textId="77777777" w:rsidR="00E91C37" w:rsidRPr="00E91C37" w:rsidRDefault="00E91C37" w:rsidP="00E91C37">
      <w:pPr>
        <w:pStyle w:val="Textoindependiente"/>
        <w:jc w:val="both"/>
        <w:rPr>
          <w:rFonts w:ascii="Arial" w:hAnsi="Arial" w:cs="Arial"/>
          <w:spacing w:val="-2"/>
          <w:sz w:val="22"/>
          <w:szCs w:val="22"/>
        </w:rPr>
      </w:pPr>
      <w:r w:rsidRPr="00E91C37">
        <w:rPr>
          <w:rFonts w:ascii="Arial" w:hAnsi="Arial" w:cs="Arial"/>
          <w:sz w:val="22"/>
          <w:szCs w:val="22"/>
        </w:rPr>
        <w:t>A partir del 30 de junio 2017, se realiza una variación en la forma de cálculo del indicador, anteriormente se calculaba dividiendo la Utilidad de Operación entre el promedio de la cuenta Propiedad, Planta y Equipo (PPE), en adelante se utiliza el rubro Utilidad o Pérdida Neta y el dato del PPE no se promedia.</w:t>
      </w:r>
    </w:p>
    <w:p w14:paraId="408C9DC2" w14:textId="77777777" w:rsidR="00C1632C" w:rsidRDefault="00E91C37" w:rsidP="00C1632C">
      <w:pPr>
        <w:shd w:val="clear" w:color="auto" w:fill="FFFFFF"/>
        <w:tabs>
          <w:tab w:val="left" w:pos="-195"/>
          <w:tab w:val="left" w:pos="30"/>
        </w:tabs>
        <w:spacing w:before="0" w:beforeAutospacing="0" w:after="0" w:afterAutospacing="0" w:line="240" w:lineRule="auto"/>
        <w:ind w:right="11"/>
        <w:rPr>
          <w:rFonts w:ascii="Arial" w:hAnsi="Arial" w:cs="Arial"/>
          <w:b/>
        </w:rPr>
      </w:pPr>
      <w:r w:rsidRPr="00E91C37">
        <w:rPr>
          <w:rFonts w:ascii="Arial" w:hAnsi="Arial" w:cs="Arial"/>
          <w:spacing w:val="-2"/>
        </w:rPr>
        <w:t>Este parámetro indica el rendimiento por cada colón en activo invertido e indica que tan eficiente (términos económicos) es la Institución al hacer uso de sus activos.</w:t>
      </w:r>
      <w:r w:rsidR="00C1632C">
        <w:rPr>
          <w:rFonts w:ascii="Arial" w:hAnsi="Arial" w:cs="Arial"/>
          <w:b/>
        </w:rPr>
        <w:t xml:space="preserve">              </w:t>
      </w:r>
      <w:r w:rsidR="00C1632C">
        <w:rPr>
          <w:rFonts w:ascii="Arial" w:hAnsi="Arial" w:cs="Arial"/>
          <w:b/>
        </w:rPr>
        <w:tab/>
      </w:r>
    </w:p>
    <w:p w14:paraId="6D8D051F" w14:textId="77777777" w:rsidR="00E91C37" w:rsidRPr="00C1632C" w:rsidRDefault="00E91C37" w:rsidP="00C1632C">
      <w:pPr>
        <w:shd w:val="clear" w:color="auto" w:fill="FFFFFF"/>
        <w:tabs>
          <w:tab w:val="left" w:pos="-195"/>
          <w:tab w:val="left" w:pos="30"/>
        </w:tabs>
        <w:spacing w:before="0" w:beforeAutospacing="0" w:after="0" w:afterAutospacing="0" w:line="240" w:lineRule="auto"/>
        <w:ind w:right="11"/>
        <w:rPr>
          <w:rFonts w:ascii="Arial" w:hAnsi="Arial" w:cs="Arial"/>
        </w:rPr>
      </w:pPr>
      <w:r w:rsidRPr="00E91C37">
        <w:rPr>
          <w:rFonts w:ascii="Arial" w:hAnsi="Arial" w:cs="Arial"/>
          <w:spacing w:val="-2"/>
        </w:rPr>
        <w:t>La misión de los activos Propiedad Planta y Equipo es contribuir en las operaciones y generar ingresos por venta de agua y servicio de alcantarillado, sin embargo, en AyA la rentabilidad de la capacidad instalada va a depender de los aumentos de tarifas aprobados por la ARESEP y de la utilidad que se genere en ese periodo</w:t>
      </w:r>
      <w:r w:rsidRPr="00E91C37">
        <w:rPr>
          <w:rFonts w:ascii="Arial" w:hAnsi="Arial" w:cs="Arial"/>
          <w:color w:val="FF3333"/>
          <w:spacing w:val="-2"/>
        </w:rPr>
        <w:t>.</w:t>
      </w:r>
    </w:p>
    <w:p w14:paraId="560A7ACF" w14:textId="77777777" w:rsidR="00E91C37" w:rsidRPr="00E91C37" w:rsidRDefault="00E91C37" w:rsidP="00E91C37">
      <w:pPr>
        <w:spacing w:line="100" w:lineRule="atLeast"/>
        <w:rPr>
          <w:rFonts w:ascii="Arial" w:hAnsi="Arial" w:cs="Arial"/>
          <w:spacing w:val="-2"/>
        </w:rPr>
      </w:pPr>
      <w:r w:rsidRPr="00E91C37">
        <w:rPr>
          <w:rFonts w:ascii="Arial" w:hAnsi="Arial" w:cs="Arial"/>
          <w:spacing w:val="-2"/>
        </w:rPr>
        <w:t xml:space="preserve">Al 31 de diciembre del 2018, el resultado de este indicador no muestra rentabilidad, al obtener un resultado negativo de 2 puntos, para el mismo periodo del 2017 igualmente no presenta rentabilidad al alcanzar un resultado negativo de 2.96 puntos, lo que provoca una mejora de 0.96 puntos (32.4%), debido a que la Pérdida Neta muestra una disminución de ¢5,188 millones (26%), al pasar de ¢20,205 millones a ¢15,017 millones en el 2018.  La disminución de </w:t>
      </w:r>
      <w:r w:rsidRPr="00E91C37">
        <w:rPr>
          <w:rFonts w:ascii="Arial" w:hAnsi="Arial" w:cs="Arial"/>
        </w:rPr>
        <w:t>la pérdida entre un año y otro es resultado directo del aumento tarifario que se está facturando desde el mes octubre 2017, no obstante, es evidente que el mismo no fue suficiente.</w:t>
      </w:r>
    </w:p>
    <w:p w14:paraId="6B163D79" w14:textId="77777777" w:rsidR="00E91C37" w:rsidRPr="00E91C37" w:rsidRDefault="00E91C37" w:rsidP="00E91C37">
      <w:pPr>
        <w:spacing w:line="100" w:lineRule="atLeast"/>
        <w:rPr>
          <w:rFonts w:ascii="Arial" w:hAnsi="Arial" w:cs="Arial"/>
        </w:rPr>
      </w:pPr>
      <w:r w:rsidRPr="00E91C37">
        <w:rPr>
          <w:rFonts w:ascii="Arial" w:hAnsi="Arial" w:cs="Arial"/>
        </w:rPr>
        <w:t>Estos resultados del mes de diciembre 2018 confirman la urgente la aprobación de un aumento tarifario, que permita garantizar el equilibrio financiero para atender oportunamente los compromisos y obligaciones para este año 2019.</w:t>
      </w:r>
    </w:p>
    <w:p w14:paraId="4F4148D6" w14:textId="77777777" w:rsidR="00C1632C"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 xml:space="preserve">El activo PPE, crece en ¢67,494 millones (10%), para el 2017 fue de ¢682,938 millones, mientras que para el 2018 alcanzó un monto de ¢750,432 millones, presentando movimientos relevantes en la cuenta de Alcantarillado, tanto histórico como revaluado que aumenta en ¢15,133 el primero la Revaluación crece en ¢31,341 millones. </w:t>
      </w:r>
    </w:p>
    <w:p w14:paraId="16941994" w14:textId="77777777" w:rsidR="00C1632C" w:rsidRDefault="00C1632C"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4AA60274" w14:textId="77777777" w:rsidR="00C1632C" w:rsidRDefault="00C1632C"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5DB9051D" w14:textId="77777777" w:rsidR="00BA3B81" w:rsidRDefault="00BA3B81" w:rsidP="00BA3B81">
      <w:pPr>
        <w:pStyle w:val="WW-Predeterminado"/>
        <w:shd w:val="clear" w:color="auto" w:fill="FFFFFF"/>
        <w:tabs>
          <w:tab w:val="left" w:pos="-195"/>
          <w:tab w:val="left" w:pos="30"/>
        </w:tabs>
        <w:spacing w:line="100" w:lineRule="atLeast"/>
        <w:ind w:right="14"/>
        <w:jc w:val="right"/>
        <w:rPr>
          <w:rFonts w:ascii="Arial" w:eastAsia="Times New Roman" w:hAnsi="Arial" w:cs="Arial"/>
          <w:spacing w:val="-2"/>
          <w:sz w:val="22"/>
          <w:szCs w:val="22"/>
        </w:rPr>
      </w:pPr>
      <w:r>
        <w:rPr>
          <w:rFonts w:ascii="Arial" w:eastAsia="Times New Roman" w:hAnsi="Arial" w:cs="Arial"/>
          <w:spacing w:val="-2"/>
          <w:sz w:val="22"/>
          <w:szCs w:val="22"/>
        </w:rPr>
        <w:t>17</w:t>
      </w:r>
    </w:p>
    <w:p w14:paraId="1E0615BC"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lastRenderedPageBreak/>
        <w:t>Por otro lado, la cuenta de Obras en Diseño y Construcción presenta un incremento ¢11.665 millones (60%) pues pasa de ¢19.531 millones en el 2017 a ¢31.196 millones en el 2018, producto del crecimiento en los proyectos de inversión.</w:t>
      </w:r>
    </w:p>
    <w:p w14:paraId="6A7C8BDC"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470E6A76"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 xml:space="preserve">Es importante mencionar que, se realiza un avalúo de activos aplicados en PPE, producto de la primera etapa del Inventario Nacional de Activos, en el mes de octubre 2018, la Sub Gerencia remite a la Dirección de Finanzas los oficios AF-GAM-2017-01366, AF-GAM-2017 y AF-GAM-2017-04164 solicitando la aplicación de ajustes contables por conceptos de avalúos. </w:t>
      </w:r>
    </w:p>
    <w:p w14:paraId="0F170E28"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0286CD7B"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 xml:space="preserve">A continuación, se muestra el cuadro de ajustes aplicados hasta el 31 de diciembre de 2018. </w:t>
      </w:r>
    </w:p>
    <w:p w14:paraId="08859CF6" w14:textId="77777777" w:rsidR="00E91C37" w:rsidRPr="00E91C37" w:rsidRDefault="00C1632C"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noProof/>
          <w:spacing w:val="-2"/>
          <w:sz w:val="22"/>
          <w:szCs w:val="22"/>
          <w:lang w:eastAsia="es-CR"/>
        </w:rPr>
        <w:drawing>
          <wp:anchor distT="0" distB="0" distL="114300" distR="114300" simplePos="0" relativeHeight="251821056" behindDoc="0" locked="0" layoutInCell="1" allowOverlap="1" wp14:anchorId="14FCC5FC" wp14:editId="40441F8D">
            <wp:simplePos x="0" y="0"/>
            <wp:positionH relativeFrom="margin">
              <wp:posOffset>144780</wp:posOffset>
            </wp:positionH>
            <wp:positionV relativeFrom="paragraph">
              <wp:posOffset>236855</wp:posOffset>
            </wp:positionV>
            <wp:extent cx="5821680" cy="2392680"/>
            <wp:effectExtent l="0" t="0" r="7620" b="762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21680" cy="2392680"/>
                    </a:xfrm>
                    <a:prstGeom prst="rect">
                      <a:avLst/>
                    </a:prstGeom>
                    <a:noFill/>
                  </pic:spPr>
                </pic:pic>
              </a:graphicData>
            </a:graphic>
            <wp14:sizeRelH relativeFrom="margin">
              <wp14:pctWidth>0</wp14:pctWidth>
            </wp14:sizeRelH>
            <wp14:sizeRelV relativeFrom="margin">
              <wp14:pctHeight>0</wp14:pctHeight>
            </wp14:sizeRelV>
          </wp:anchor>
        </w:drawing>
      </w:r>
      <w:r w:rsidR="00E91C37" w:rsidRPr="00E91C37">
        <w:rPr>
          <w:rFonts w:ascii="Arial" w:eastAsia="Times New Roman" w:hAnsi="Arial" w:cs="Arial"/>
          <w:spacing w:val="-2"/>
          <w:sz w:val="22"/>
          <w:szCs w:val="22"/>
        </w:rPr>
        <w:t xml:space="preserve"> </w:t>
      </w:r>
    </w:p>
    <w:p w14:paraId="08E34278"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1179A970"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 xml:space="preserve">(*) Nota: </w:t>
      </w:r>
    </w:p>
    <w:p w14:paraId="0365EC96"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7831DA3B"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Los ajustes consisten en dar de alta a todos aquellos activos localizados en el campo que no fue posible conciliarlos con la información existente en el módulo de activos, teniendo como contraparte la baja contable de aquellos activos que no se localizaron físicamente.</w:t>
      </w:r>
    </w:p>
    <w:p w14:paraId="2B8DFBED"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01067B8F"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La metodología mencionada se sustenta en la política contable vigente 6.9.7.1. Baja Contable de Activos no Identificados y la 6.9.7.2. Alta Contable de Activos Identificados, aprobada por la Gerencia General de AyA.</w:t>
      </w:r>
    </w:p>
    <w:p w14:paraId="70BEC2DC"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61466EAD" w14:textId="77777777" w:rsidR="00C1632C"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 xml:space="preserve">En el cuadro anterior se muestra para el periodo 2018 una diferencia neta para la clase 2300 de Líneas de Conducción por la suma de ¢45.158 millones. Básicamente esta se genera al dar trámite al oficio AF-GAM-2018-01366 del 23/05/2018, remitido por la Subgerencia GAM, mediante el cual se solicita dar de baja contable a 1.874 activos incluidos en la base de datos de contabilidad que no se ubicaron físicamente en el inventario de campo, por un valor neto aproximado a ¢96.077 millones.  </w:t>
      </w:r>
    </w:p>
    <w:p w14:paraId="6610D8DC" w14:textId="77777777" w:rsidR="00C1632C" w:rsidRDefault="00C1632C"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2F5C4CFC" w14:textId="77777777" w:rsidR="00BA3B81" w:rsidRDefault="00BA3B81" w:rsidP="00BA3B81">
      <w:pPr>
        <w:pStyle w:val="WW-Predeterminado"/>
        <w:shd w:val="clear" w:color="auto" w:fill="FFFFFF"/>
        <w:tabs>
          <w:tab w:val="left" w:pos="-195"/>
          <w:tab w:val="left" w:pos="30"/>
        </w:tabs>
        <w:spacing w:line="100" w:lineRule="atLeast"/>
        <w:ind w:right="14"/>
        <w:jc w:val="right"/>
        <w:rPr>
          <w:rFonts w:ascii="Arial" w:eastAsia="Times New Roman" w:hAnsi="Arial" w:cs="Arial"/>
          <w:spacing w:val="-2"/>
          <w:sz w:val="22"/>
          <w:szCs w:val="22"/>
        </w:rPr>
      </w:pPr>
    </w:p>
    <w:p w14:paraId="030229F4" w14:textId="77777777" w:rsidR="00C1632C" w:rsidRDefault="00BA3B81" w:rsidP="00BA3B81">
      <w:pPr>
        <w:pStyle w:val="WW-Predeterminado"/>
        <w:shd w:val="clear" w:color="auto" w:fill="FFFFFF"/>
        <w:tabs>
          <w:tab w:val="left" w:pos="-195"/>
          <w:tab w:val="left" w:pos="30"/>
        </w:tabs>
        <w:spacing w:line="100" w:lineRule="atLeast"/>
        <w:ind w:right="14"/>
        <w:jc w:val="right"/>
        <w:rPr>
          <w:rFonts w:ascii="Arial" w:eastAsia="Times New Roman" w:hAnsi="Arial" w:cs="Arial"/>
          <w:spacing w:val="-2"/>
          <w:sz w:val="22"/>
          <w:szCs w:val="22"/>
        </w:rPr>
      </w:pPr>
      <w:r>
        <w:rPr>
          <w:rFonts w:ascii="Arial" w:eastAsia="Times New Roman" w:hAnsi="Arial" w:cs="Arial"/>
          <w:spacing w:val="-2"/>
          <w:sz w:val="22"/>
          <w:szCs w:val="22"/>
        </w:rPr>
        <w:t>18</w:t>
      </w:r>
    </w:p>
    <w:p w14:paraId="05103748"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lastRenderedPageBreak/>
        <w:t>Por otra parte, se da de alta contable a 2.158 activos de tubería de agua potable los cuales cuentan con un valor razonable determinado en el año 2018 por el Área de Avalúos de la UEN Programación y Control, por un valor de ¢50.918 millones, lo que genera una disminución en el valor neto por la suma de ¢45.159 millones.</w:t>
      </w:r>
    </w:p>
    <w:p w14:paraId="5A257D21"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6B3E3FC1"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 xml:space="preserve">Para la clase 2200 de Plantas Potabilizadoras, en este mismo cuadro, se aprecia para el periodo 2018 una diferencia neta por la suma de ¢822.6 millones. Esta se genera al tramitar los oficios GAM-2017-03532 del 09/11/2017 y oficios GAM-2017-04164 del 20/12/2017, remitido por la Subgerencia GAM, mediante los cuales se solicita dar de baja contable a 135 activos correspondiente a Plantas de Tratamiento incluidos en la base de datos de contabilidad que no se ubicaron físicamente en el inventario de campo, por un valor neto aproximado a ¢955.6 millones. </w:t>
      </w:r>
    </w:p>
    <w:p w14:paraId="4E20CBCB"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5B370E2D"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Por otra parte, se da de alta contable a 53 activos los cuales cuentan con un valor razonable determinado en el año 2017 por el Área de Avalúos de la UEN Programación y Control, por un valor de ¢132.9 millones, lo que genera una disminución en el valor neto por la suma de ¢822.6 millones.</w:t>
      </w:r>
    </w:p>
    <w:p w14:paraId="6A27AF9C"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0F88D6A8"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r w:rsidRPr="00E91C37">
        <w:rPr>
          <w:rFonts w:ascii="Arial" w:eastAsia="Times New Roman" w:hAnsi="Arial" w:cs="Arial"/>
          <w:spacing w:val="-2"/>
          <w:sz w:val="22"/>
          <w:szCs w:val="22"/>
        </w:rPr>
        <w:t>Los ajustes consisten en dar de alta a todos aquellos activos localizados en el campo que no fue posible conciliarlos con la información existente en el módulo de activos, teniendo como contraparte la baja contable de aquellos activos que no se localizaron físicamente.  La metodología mencionada se sustenta en la política contable vigente 6.9.7.1 Baja Contable de Activos no Identificados y la 6.9.7.2 Alta Contable de Activos Identificados, aprobada por la Gerencia de AyA.</w:t>
      </w:r>
    </w:p>
    <w:p w14:paraId="0F9F9C7D" w14:textId="77777777" w:rsidR="00E91C37" w:rsidRPr="00E91C37" w:rsidRDefault="00E91C37" w:rsidP="00E91C37">
      <w:pPr>
        <w:pStyle w:val="WW-Predeterminado"/>
        <w:shd w:val="clear" w:color="auto" w:fill="FFFFFF"/>
        <w:tabs>
          <w:tab w:val="left" w:pos="-195"/>
          <w:tab w:val="left" w:pos="30"/>
        </w:tabs>
        <w:spacing w:line="100" w:lineRule="atLeast"/>
        <w:ind w:right="14"/>
        <w:jc w:val="both"/>
        <w:rPr>
          <w:rFonts w:ascii="Arial" w:eastAsia="Times New Roman" w:hAnsi="Arial" w:cs="Arial"/>
          <w:spacing w:val="-2"/>
          <w:sz w:val="22"/>
          <w:szCs w:val="22"/>
        </w:rPr>
      </w:pPr>
    </w:p>
    <w:p w14:paraId="79431663" w14:textId="77777777" w:rsidR="00E91C37" w:rsidRPr="00C1632C" w:rsidRDefault="00E91C37" w:rsidP="00C1632C">
      <w:pPr>
        <w:pStyle w:val="Ttulo1"/>
        <w:jc w:val="both"/>
        <w:rPr>
          <w:rFonts w:ascii="Arial" w:hAnsi="Arial" w:cs="Arial"/>
          <w:b w:val="0"/>
          <w:sz w:val="20"/>
        </w:rPr>
      </w:pPr>
      <w:r w:rsidRPr="00E91C37">
        <w:rPr>
          <w:rFonts w:ascii="Arial" w:hAnsi="Arial" w:cs="Arial"/>
          <w:bCs/>
          <w:spacing w:val="-2"/>
          <w:sz w:val="22"/>
          <w:szCs w:val="22"/>
        </w:rPr>
        <w:t>Cobertura de la Deuda</w:t>
      </w:r>
      <w:r w:rsidR="00C1632C">
        <w:rPr>
          <w:rFonts w:ascii="Arial" w:hAnsi="Arial" w:cs="Arial"/>
          <w:bCs/>
          <w:spacing w:val="-2"/>
          <w:sz w:val="22"/>
          <w:szCs w:val="22"/>
        </w:rPr>
        <w:t xml:space="preserve"> </w:t>
      </w:r>
      <w:r w:rsidRPr="00C1632C">
        <w:rPr>
          <w:rFonts w:ascii="Arial" w:hAnsi="Arial" w:cs="Arial"/>
          <w:b w:val="0"/>
          <w:bCs/>
          <w:sz w:val="20"/>
        </w:rPr>
        <w:t xml:space="preserve">Fórmula: </w:t>
      </w:r>
      <w:r w:rsidRPr="00C1632C">
        <w:rPr>
          <w:rFonts w:ascii="Arial" w:hAnsi="Arial" w:cs="Arial"/>
          <w:b w:val="0"/>
          <w:i/>
          <w:iCs/>
          <w:sz w:val="20"/>
        </w:rPr>
        <w:t>Generación</w:t>
      </w:r>
      <w:r w:rsidRPr="00C1632C">
        <w:rPr>
          <w:rFonts w:ascii="Arial" w:hAnsi="Arial" w:cs="Arial"/>
          <w:b w:val="0"/>
          <w:bCs/>
          <w:i/>
          <w:iCs/>
          <w:sz w:val="20"/>
        </w:rPr>
        <w:t xml:space="preserve"> </w:t>
      </w:r>
      <w:r w:rsidRPr="00C1632C">
        <w:rPr>
          <w:rFonts w:ascii="Arial" w:hAnsi="Arial" w:cs="Arial"/>
          <w:b w:val="0"/>
          <w:i/>
          <w:iCs/>
          <w:sz w:val="20"/>
        </w:rPr>
        <w:t xml:space="preserve">Interna Bruta: (Utilidad o Pérdida Neta +Depreciación + Provisión para Incobrables + Gastos por Deterioro de Activos + Gastos por Liquidación de Proyectos no Viables + Comisiones e Intereses + Gasto por Diferencial Cambiario – Ingresos por Diferencial Cambiario) </w:t>
      </w:r>
      <w:r w:rsidRPr="00C1632C">
        <w:rPr>
          <w:rFonts w:ascii="Arial" w:hAnsi="Arial" w:cs="Arial"/>
          <w:b w:val="0"/>
          <w:bCs/>
          <w:i/>
          <w:iCs/>
          <w:sz w:val="20"/>
        </w:rPr>
        <w:t xml:space="preserve">/ </w:t>
      </w:r>
      <w:r w:rsidRPr="00C1632C">
        <w:rPr>
          <w:rFonts w:ascii="Arial" w:hAnsi="Arial" w:cs="Arial"/>
          <w:b w:val="0"/>
          <w:i/>
          <w:iCs/>
          <w:sz w:val="20"/>
        </w:rPr>
        <w:t>Servicio de la Deuda.</w:t>
      </w:r>
    </w:p>
    <w:p w14:paraId="1DBECFE6" w14:textId="77777777" w:rsidR="00E91C37" w:rsidRPr="00E91C37" w:rsidRDefault="00E91C37" w:rsidP="00E91C37">
      <w:pPr>
        <w:pStyle w:val="NormalWeb"/>
        <w:shd w:val="clear" w:color="auto" w:fill="FFFFFF"/>
        <w:ind w:left="45" w:hanging="17"/>
        <w:rPr>
          <w:rFonts w:ascii="Arial" w:hAnsi="Arial" w:cs="Arial"/>
          <w:color w:val="0000FF"/>
          <w:spacing w:val="-2"/>
          <w:sz w:val="22"/>
          <w:szCs w:val="22"/>
        </w:rPr>
      </w:pPr>
      <w:r w:rsidRPr="00E91C37">
        <w:rPr>
          <w:rFonts w:ascii="Arial" w:hAnsi="Arial" w:cs="Arial"/>
          <w:sz w:val="22"/>
          <w:szCs w:val="22"/>
          <w:lang w:val="es-CR"/>
        </w:rPr>
        <w:t xml:space="preserve">Determina las veces que la Institución podría cubrir el servicio de la deuda con la Generación Interna Bruta, si el resultado es mayor a 1 implica que con la Generación Interna de Caja la Institución tiene capacidad para cubrir la totalidad del servicio de la deuda del periodo, mientras que si el resultado es menor a 1 implica que la Institución no genera los recursos suficientes para cancelar el 100% del Servicio de la Deuda.  </w:t>
      </w:r>
    </w:p>
    <w:p w14:paraId="3C3A6ED1" w14:textId="77777777" w:rsidR="00E91C37" w:rsidRPr="00E91C37" w:rsidRDefault="00E91C37" w:rsidP="00C1632C">
      <w:pPr>
        <w:pStyle w:val="NormalWeb"/>
        <w:shd w:val="clear" w:color="auto" w:fill="FFFFFF"/>
        <w:rPr>
          <w:rFonts w:ascii="Arial" w:hAnsi="Arial" w:cs="Arial"/>
          <w:spacing w:val="-2"/>
          <w:sz w:val="22"/>
          <w:szCs w:val="22"/>
        </w:rPr>
      </w:pPr>
      <w:r w:rsidRPr="00E91C37">
        <w:rPr>
          <w:rFonts w:ascii="Arial" w:hAnsi="Arial" w:cs="Arial"/>
          <w:spacing w:val="-7"/>
          <w:sz w:val="22"/>
          <w:szCs w:val="22"/>
          <w:lang w:val="es-CR"/>
        </w:rPr>
        <w:t>La Generación Interna Bruta (GIB), se traduce como el cálculo del flujo de caja, dicho de otra forma, sería, los recursos con los que cuenta la Institución para atender el pago de la deuda y el remanente para las inversiones, luego de cubrir sus Gastos Totales.</w:t>
      </w:r>
    </w:p>
    <w:p w14:paraId="28BA0D9C" w14:textId="77777777" w:rsidR="00E91C37" w:rsidRDefault="00E91C37" w:rsidP="00C1632C">
      <w:pPr>
        <w:pStyle w:val="NormalWeb"/>
        <w:shd w:val="clear" w:color="auto" w:fill="FFFFFF"/>
        <w:rPr>
          <w:rFonts w:ascii="Arial" w:hAnsi="Arial" w:cs="Arial"/>
          <w:spacing w:val="-7"/>
          <w:sz w:val="22"/>
          <w:szCs w:val="22"/>
          <w:lang w:val="es-CR"/>
        </w:rPr>
      </w:pPr>
      <w:r w:rsidRPr="00E91C37">
        <w:rPr>
          <w:rFonts w:ascii="Arial" w:hAnsi="Arial" w:cs="Arial"/>
          <w:spacing w:val="-7"/>
          <w:sz w:val="22"/>
          <w:szCs w:val="22"/>
          <w:lang w:val="es-CR"/>
        </w:rPr>
        <w:t>Es importante resaltar que, a partir de junio 2017, se amplían los rubros para el cálculo de la Generación Interna Bruta, incluyendo: Utilidad o Pérdida Neta, Depreciación, la Provisión para Incobrables, el Gasto por Deterioro de Activos, Gastos por Liquidación de Proyectos no Viables, Comisiones, Intereses y Productos Financieros, Diferencial Cambiario, tanto ingresos como gastos.</w:t>
      </w:r>
    </w:p>
    <w:p w14:paraId="04A8F0AB" w14:textId="77777777" w:rsidR="00BA3B81" w:rsidRPr="00E91C37" w:rsidRDefault="00BA3B81" w:rsidP="00BA3B81">
      <w:pPr>
        <w:pStyle w:val="NormalWeb"/>
        <w:shd w:val="clear" w:color="auto" w:fill="FFFFFF"/>
        <w:jc w:val="right"/>
        <w:rPr>
          <w:rFonts w:ascii="Arial" w:hAnsi="Arial" w:cs="Arial"/>
          <w:sz w:val="22"/>
          <w:szCs w:val="22"/>
        </w:rPr>
      </w:pPr>
      <w:r>
        <w:rPr>
          <w:rFonts w:ascii="Arial" w:hAnsi="Arial" w:cs="Arial"/>
          <w:spacing w:val="-7"/>
          <w:sz w:val="22"/>
          <w:szCs w:val="22"/>
          <w:lang w:val="es-CR"/>
        </w:rPr>
        <w:t>19</w:t>
      </w:r>
    </w:p>
    <w:p w14:paraId="60257F2D" w14:textId="77777777" w:rsidR="00C1632C" w:rsidRDefault="00E91C37" w:rsidP="00C1632C">
      <w:pPr>
        <w:rPr>
          <w:rFonts w:ascii="Arial" w:hAnsi="Arial" w:cs="Arial"/>
          <w:szCs w:val="20"/>
          <w:lang w:val="es-ES"/>
        </w:rPr>
      </w:pPr>
      <w:r w:rsidRPr="00E91C37">
        <w:rPr>
          <w:rFonts w:ascii="Arial" w:hAnsi="Arial" w:cs="Arial"/>
          <w:noProof/>
          <w:lang w:eastAsia="es-CR"/>
        </w:rPr>
        <w:lastRenderedPageBreak/>
        <w:drawing>
          <wp:anchor distT="0" distB="0" distL="114935" distR="114935" simplePos="0" relativeHeight="251811840" behindDoc="0" locked="0" layoutInCell="1" allowOverlap="1" wp14:anchorId="107B373F" wp14:editId="62032940">
            <wp:simplePos x="0" y="0"/>
            <wp:positionH relativeFrom="margin">
              <wp:posOffset>-257175</wp:posOffset>
            </wp:positionH>
            <wp:positionV relativeFrom="paragraph">
              <wp:posOffset>266065</wp:posOffset>
            </wp:positionV>
            <wp:extent cx="3053715" cy="227076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53715" cy="22707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E91C37">
        <w:rPr>
          <w:rFonts w:ascii="Arial" w:hAnsi="Arial" w:cs="Arial"/>
          <w:spacing w:val="-7"/>
        </w:rPr>
        <w:t xml:space="preserve"> </w:t>
      </w:r>
      <w:r w:rsidR="00C1632C">
        <w:rPr>
          <w:rFonts w:ascii="Arial" w:hAnsi="Arial" w:cs="Arial"/>
          <w:b/>
          <w:bCs/>
          <w:lang w:val="es-ES"/>
        </w:rPr>
        <w:t>Gráfico 9</w:t>
      </w:r>
    </w:p>
    <w:p w14:paraId="198CBDE3" w14:textId="77777777" w:rsidR="00E91C37" w:rsidRPr="00E91C37" w:rsidRDefault="00E91C37" w:rsidP="00C1632C">
      <w:pPr>
        <w:pStyle w:val="Standard"/>
        <w:shd w:val="clear" w:color="auto" w:fill="FFFFFF"/>
        <w:suppressAutoHyphens w:val="0"/>
        <w:spacing w:before="280"/>
        <w:jc w:val="both"/>
        <w:rPr>
          <w:rFonts w:ascii="Arial" w:hAnsi="Arial" w:cs="Arial"/>
          <w:color w:val="0000FF"/>
          <w:sz w:val="22"/>
          <w:szCs w:val="22"/>
        </w:rPr>
      </w:pPr>
      <w:r w:rsidRPr="00E91C37">
        <w:rPr>
          <w:rFonts w:ascii="Arial" w:hAnsi="Arial" w:cs="Arial"/>
          <w:spacing w:val="-7"/>
          <w:sz w:val="22"/>
          <w:szCs w:val="22"/>
        </w:rPr>
        <w:t>A diciembre del 2018,</w:t>
      </w:r>
      <w:r w:rsidRPr="00E91C37">
        <w:rPr>
          <w:rFonts w:ascii="Arial" w:hAnsi="Arial" w:cs="Arial"/>
          <w:color w:val="0000FF"/>
          <w:spacing w:val="-7"/>
          <w:sz w:val="22"/>
          <w:szCs w:val="22"/>
        </w:rPr>
        <w:t xml:space="preserve"> </w:t>
      </w:r>
      <w:r w:rsidRPr="00E91C37">
        <w:rPr>
          <w:rFonts w:ascii="Arial" w:hAnsi="Arial" w:cs="Arial"/>
          <w:spacing w:val="-7"/>
          <w:sz w:val="22"/>
          <w:szCs w:val="22"/>
        </w:rPr>
        <w:t>la razón de Cobertura de la Deuda fue de 3.25 veces generando un crecimiento en términos absolutos de 0.53 puntos (19%) con relación al año 2017 que fue de 2.72 veces.</w:t>
      </w:r>
    </w:p>
    <w:p w14:paraId="475D6D74" w14:textId="77777777" w:rsidR="00C1632C" w:rsidRDefault="00E91C37" w:rsidP="00E91C37">
      <w:pPr>
        <w:spacing w:line="102" w:lineRule="atLeast"/>
        <w:rPr>
          <w:rFonts w:ascii="Arial" w:eastAsia="Times New Roman" w:hAnsi="Arial" w:cs="Arial"/>
          <w:lang w:eastAsia="ar-SA"/>
        </w:rPr>
      </w:pPr>
      <w:r w:rsidRPr="00E91C37">
        <w:rPr>
          <w:rFonts w:ascii="Arial" w:eastAsia="Times New Roman" w:hAnsi="Arial" w:cs="Arial"/>
          <w:spacing w:val="-7"/>
        </w:rPr>
        <w:t>La Generación Interna Bruta presenta un incremento de ¢10,641 millones, l</w:t>
      </w:r>
      <w:r w:rsidRPr="00E91C37">
        <w:rPr>
          <w:rFonts w:ascii="Arial" w:eastAsia="Times New Roman" w:hAnsi="Arial" w:cs="Arial"/>
          <w:lang w:eastAsia="ar-SA"/>
        </w:rPr>
        <w:t xml:space="preserve">a </w:t>
      </w:r>
      <w:r w:rsidRPr="00E91C37">
        <w:rPr>
          <w:rFonts w:ascii="Arial" w:eastAsia="Times New Roman" w:hAnsi="Arial" w:cs="Arial"/>
          <w:b/>
          <w:bCs/>
          <w:lang w:eastAsia="ar-SA"/>
        </w:rPr>
        <w:t>Depreciación Total</w:t>
      </w:r>
      <w:r w:rsidRPr="00E91C37">
        <w:rPr>
          <w:rFonts w:ascii="Arial" w:eastAsia="Times New Roman" w:hAnsi="Arial" w:cs="Arial"/>
          <w:lang w:eastAsia="ar-SA"/>
        </w:rPr>
        <w:t xml:space="preserve"> fue de ¢42.450 millones a diciembre 2017, entre tanto en el 2018 ascendió a ¢46.291 millones, mostrando un incremento neto de ¢3.840 millones. </w:t>
      </w:r>
    </w:p>
    <w:p w14:paraId="663CD9A0" w14:textId="77777777" w:rsidR="00E91C37" w:rsidRPr="00E91C37" w:rsidRDefault="00E91C37" w:rsidP="00E91C37">
      <w:pPr>
        <w:spacing w:line="102" w:lineRule="atLeast"/>
        <w:rPr>
          <w:rFonts w:ascii="Arial" w:eastAsia="Times New Roman" w:hAnsi="Arial" w:cs="Arial"/>
          <w:lang w:eastAsia="ar-SA"/>
        </w:rPr>
      </w:pPr>
      <w:r w:rsidRPr="00E91C37">
        <w:rPr>
          <w:rFonts w:ascii="Arial" w:eastAsia="Times New Roman" w:hAnsi="Arial" w:cs="Arial"/>
          <w:lang w:eastAsia="ar-SA"/>
        </w:rPr>
        <w:t xml:space="preserve">La </w:t>
      </w:r>
      <w:r w:rsidRPr="00E91C37">
        <w:rPr>
          <w:rFonts w:ascii="Arial" w:eastAsia="Times New Roman" w:hAnsi="Arial" w:cs="Arial"/>
          <w:b/>
          <w:bCs/>
          <w:lang w:eastAsia="ar-SA"/>
        </w:rPr>
        <w:t xml:space="preserve">Pérdida Neta </w:t>
      </w:r>
      <w:r w:rsidRPr="00E91C37">
        <w:rPr>
          <w:rFonts w:ascii="Arial" w:eastAsia="Times New Roman" w:hAnsi="Arial" w:cs="Arial"/>
          <w:lang w:eastAsia="ar-SA"/>
        </w:rPr>
        <w:t xml:space="preserve">para diciembre 2017 fue de ¢20,205 millones mientras que para diciembre 2018 la </w:t>
      </w:r>
      <w:r w:rsidRPr="00E91C37">
        <w:rPr>
          <w:rFonts w:ascii="Arial" w:eastAsia="Times New Roman" w:hAnsi="Arial" w:cs="Arial"/>
          <w:bCs/>
          <w:lang w:eastAsia="ar-SA"/>
        </w:rPr>
        <w:t>pérdida</w:t>
      </w:r>
      <w:r w:rsidRPr="00E91C37">
        <w:rPr>
          <w:rFonts w:ascii="Arial" w:eastAsia="Times New Roman" w:hAnsi="Arial" w:cs="Arial"/>
          <w:b/>
          <w:bCs/>
          <w:lang w:eastAsia="ar-SA"/>
        </w:rPr>
        <w:t xml:space="preserve"> </w:t>
      </w:r>
      <w:r w:rsidRPr="00E91C37">
        <w:rPr>
          <w:rFonts w:ascii="Arial" w:eastAsia="Times New Roman" w:hAnsi="Arial" w:cs="Arial"/>
          <w:lang w:eastAsia="ar-SA"/>
        </w:rPr>
        <w:t xml:space="preserve">es por ¢15,017 millones, lo que significa una reducción en la pérdida de ¢5,188 millones, es decir un 26% menor. La cuenta Gasto por Diferencial Cambiario refleja un incremento de ¢3,026 millones (111%), </w:t>
      </w:r>
      <w:r w:rsidRPr="00E91C37">
        <w:rPr>
          <w:rFonts w:ascii="Arial" w:hAnsi="Arial" w:cs="Arial"/>
        </w:rPr>
        <w:t xml:space="preserve">generado principalmente por el incremento en el tipo de cambio del dólar. </w:t>
      </w:r>
    </w:p>
    <w:p w14:paraId="4775AAD6" w14:textId="77777777" w:rsidR="00E91C37" w:rsidRPr="00E91C37" w:rsidRDefault="00E91C37" w:rsidP="00C1632C">
      <w:pPr>
        <w:tabs>
          <w:tab w:val="left" w:pos="45"/>
          <w:tab w:val="left" w:pos="3420"/>
        </w:tabs>
        <w:spacing w:before="0" w:beforeAutospacing="0" w:after="0" w:afterAutospacing="0" w:line="240" w:lineRule="auto"/>
        <w:ind w:right="45"/>
        <w:textAlignment w:val="baseline"/>
        <w:rPr>
          <w:rFonts w:ascii="Arial" w:hAnsi="Arial" w:cs="Arial"/>
        </w:rPr>
      </w:pPr>
      <w:r w:rsidRPr="00E91C37">
        <w:rPr>
          <w:rFonts w:ascii="Arial" w:eastAsia="Times New Roman" w:hAnsi="Arial" w:cs="Arial"/>
          <w:spacing w:val="-7"/>
        </w:rPr>
        <w:t>El Servicio de la Deuda refleja un ascenso de ¢1,741 millones (19%), con relación al mismo periodo del 2017, al pasar de ¢9,397 a ¢11,138 millones en diciembre del 2018, como resultado del incremento en el pago de amortización del BCIE-1725, así como el aumento en el pago de la amortización del préstamo con el Banco Nacional.</w:t>
      </w:r>
    </w:p>
    <w:p w14:paraId="0827BA2C" w14:textId="77777777" w:rsidR="00E91C37" w:rsidRPr="00E91C37" w:rsidRDefault="00E91C37" w:rsidP="00C1632C">
      <w:pPr>
        <w:pStyle w:val="Standard"/>
        <w:tabs>
          <w:tab w:val="left" w:pos="45"/>
        </w:tabs>
        <w:ind w:right="45"/>
        <w:jc w:val="both"/>
        <w:rPr>
          <w:rFonts w:ascii="Arial" w:hAnsi="Arial" w:cs="Arial"/>
          <w:sz w:val="22"/>
          <w:szCs w:val="22"/>
        </w:rPr>
      </w:pPr>
    </w:p>
    <w:p w14:paraId="771DE912" w14:textId="77777777" w:rsidR="00E91C37" w:rsidRPr="00E91C37" w:rsidRDefault="00E91C37" w:rsidP="00C1632C">
      <w:pPr>
        <w:tabs>
          <w:tab w:val="left" w:pos="45"/>
        </w:tabs>
        <w:autoSpaceDE w:val="0"/>
        <w:spacing w:before="0" w:beforeAutospacing="0" w:after="0" w:afterAutospacing="0" w:line="240" w:lineRule="auto"/>
        <w:ind w:right="45"/>
        <w:rPr>
          <w:rFonts w:ascii="Arial" w:hAnsi="Arial" w:cs="Arial"/>
        </w:rPr>
      </w:pPr>
      <w:r w:rsidRPr="00E91C37">
        <w:rPr>
          <w:rFonts w:ascii="Arial" w:eastAsia="Times New Roman" w:hAnsi="Arial" w:cs="Arial"/>
          <w:spacing w:val="-7"/>
          <w:lang w:eastAsia="ar-SA"/>
        </w:rPr>
        <w:t>En conclusión, el resultado de este indicador a diciembre 2018, muestra que con la generación interna de recursos la Institución contó con suficiente capacidad para cubrir los ¢11,138 millones del servicio de la deuda y para adquirir nuevos financiamientos de largo plazo.</w:t>
      </w:r>
    </w:p>
    <w:p w14:paraId="5183557E" w14:textId="77777777" w:rsidR="00E91C37" w:rsidRPr="00E91C37" w:rsidRDefault="00E91C37" w:rsidP="00E91C37">
      <w:pPr>
        <w:pStyle w:val="Textoindependiente"/>
        <w:tabs>
          <w:tab w:val="left" w:pos="90"/>
        </w:tabs>
        <w:spacing w:before="100" w:after="0"/>
        <w:ind w:left="45" w:hanging="17"/>
        <w:rPr>
          <w:rFonts w:ascii="Arial" w:hAnsi="Arial" w:cs="Arial"/>
          <w:sz w:val="22"/>
          <w:szCs w:val="22"/>
        </w:rPr>
      </w:pPr>
    </w:p>
    <w:p w14:paraId="3673A9A7" w14:textId="77777777" w:rsidR="00E91C37" w:rsidRPr="00E91C37" w:rsidRDefault="00E91C37" w:rsidP="00E91C37">
      <w:pPr>
        <w:pStyle w:val="Textoindependiente"/>
        <w:tabs>
          <w:tab w:val="left" w:pos="90"/>
        </w:tabs>
        <w:spacing w:before="100" w:after="0"/>
        <w:ind w:left="45" w:hanging="17"/>
        <w:rPr>
          <w:rFonts w:ascii="Arial" w:hAnsi="Arial" w:cs="Arial"/>
          <w:sz w:val="22"/>
          <w:szCs w:val="22"/>
        </w:rPr>
      </w:pPr>
    </w:p>
    <w:p w14:paraId="0E402E35" w14:textId="77777777" w:rsidR="00E91C37" w:rsidRPr="00E91C37" w:rsidRDefault="00E91C37" w:rsidP="00E91C37">
      <w:pPr>
        <w:pStyle w:val="Textoindependiente"/>
        <w:tabs>
          <w:tab w:val="left" w:pos="90"/>
        </w:tabs>
        <w:spacing w:before="100" w:after="0"/>
        <w:ind w:left="45" w:hanging="17"/>
        <w:rPr>
          <w:rFonts w:ascii="Arial" w:hAnsi="Arial" w:cs="Arial"/>
          <w:sz w:val="22"/>
          <w:szCs w:val="22"/>
        </w:rPr>
      </w:pPr>
    </w:p>
    <w:p w14:paraId="4F39661E" w14:textId="77777777" w:rsidR="00E91C37" w:rsidRPr="00E91C37" w:rsidRDefault="00E91C37" w:rsidP="00E91C37">
      <w:pPr>
        <w:pStyle w:val="Textoindependiente"/>
        <w:tabs>
          <w:tab w:val="left" w:pos="90"/>
        </w:tabs>
        <w:spacing w:before="100" w:after="0"/>
        <w:ind w:left="45" w:hanging="17"/>
        <w:rPr>
          <w:rFonts w:ascii="Arial" w:hAnsi="Arial" w:cs="Arial"/>
          <w:sz w:val="22"/>
          <w:szCs w:val="22"/>
        </w:rPr>
      </w:pPr>
    </w:p>
    <w:p w14:paraId="680F75F2" w14:textId="77777777" w:rsidR="00E91C37" w:rsidRPr="00E91C37" w:rsidRDefault="00E91C37" w:rsidP="00E91C37">
      <w:pPr>
        <w:pStyle w:val="Textoindependiente"/>
        <w:tabs>
          <w:tab w:val="left" w:pos="90"/>
        </w:tabs>
        <w:spacing w:before="100" w:after="0"/>
        <w:ind w:left="45" w:hanging="17"/>
        <w:rPr>
          <w:rFonts w:ascii="Arial" w:hAnsi="Arial" w:cs="Arial"/>
          <w:sz w:val="22"/>
          <w:szCs w:val="22"/>
        </w:rPr>
      </w:pPr>
    </w:p>
    <w:p w14:paraId="342CB814" w14:textId="77777777" w:rsidR="00E91C37" w:rsidRPr="00E91C37" w:rsidRDefault="00E91C37" w:rsidP="00E91C37">
      <w:pPr>
        <w:pStyle w:val="Textoindependiente"/>
        <w:tabs>
          <w:tab w:val="left" w:pos="90"/>
        </w:tabs>
        <w:spacing w:before="100" w:after="0"/>
        <w:ind w:left="45" w:hanging="17"/>
        <w:rPr>
          <w:rFonts w:ascii="Arial" w:hAnsi="Arial" w:cs="Arial"/>
          <w:sz w:val="22"/>
          <w:szCs w:val="22"/>
        </w:rPr>
      </w:pPr>
    </w:p>
    <w:p w14:paraId="329EB813" w14:textId="77777777" w:rsidR="00E91C37" w:rsidRPr="00E91C37" w:rsidRDefault="00E91C37" w:rsidP="00E91C37">
      <w:pPr>
        <w:pStyle w:val="Textoindependiente"/>
        <w:tabs>
          <w:tab w:val="left" w:pos="90"/>
        </w:tabs>
        <w:spacing w:before="100" w:after="0"/>
        <w:ind w:left="45" w:hanging="17"/>
        <w:rPr>
          <w:rFonts w:ascii="Arial" w:hAnsi="Arial" w:cs="Arial"/>
          <w:sz w:val="22"/>
          <w:szCs w:val="22"/>
        </w:rPr>
      </w:pPr>
    </w:p>
    <w:p w14:paraId="0E087E75" w14:textId="77777777" w:rsidR="00E91C37" w:rsidRDefault="00E91C37" w:rsidP="00E91C37">
      <w:pPr>
        <w:pStyle w:val="Textoindependiente"/>
        <w:tabs>
          <w:tab w:val="left" w:pos="90"/>
        </w:tabs>
        <w:spacing w:before="100" w:after="0"/>
        <w:ind w:left="45" w:hanging="17"/>
        <w:rPr>
          <w:rFonts w:ascii="Arial" w:hAnsi="Arial" w:cs="Arial"/>
          <w:sz w:val="22"/>
          <w:szCs w:val="22"/>
        </w:rPr>
      </w:pPr>
    </w:p>
    <w:p w14:paraId="76E801E7" w14:textId="77777777" w:rsidR="00BA3B81" w:rsidRDefault="00BA3B81" w:rsidP="00E91C37">
      <w:pPr>
        <w:pStyle w:val="Textoindependiente"/>
        <w:tabs>
          <w:tab w:val="left" w:pos="90"/>
        </w:tabs>
        <w:spacing w:before="100" w:after="0"/>
        <w:ind w:left="45" w:hanging="17"/>
        <w:rPr>
          <w:rFonts w:ascii="Arial" w:hAnsi="Arial" w:cs="Arial"/>
          <w:sz w:val="22"/>
          <w:szCs w:val="22"/>
        </w:rPr>
      </w:pPr>
    </w:p>
    <w:p w14:paraId="3D9DEBFC" w14:textId="77777777" w:rsidR="00BA3B81" w:rsidRDefault="00BA3B81" w:rsidP="00E91C37">
      <w:pPr>
        <w:pStyle w:val="Textoindependiente"/>
        <w:tabs>
          <w:tab w:val="left" w:pos="90"/>
        </w:tabs>
        <w:spacing w:before="100" w:after="0"/>
        <w:ind w:left="45" w:hanging="17"/>
        <w:rPr>
          <w:rFonts w:ascii="Arial" w:hAnsi="Arial" w:cs="Arial"/>
          <w:sz w:val="22"/>
          <w:szCs w:val="22"/>
        </w:rPr>
      </w:pPr>
    </w:p>
    <w:p w14:paraId="6E730021" w14:textId="77777777" w:rsidR="00BA3B81" w:rsidRPr="00E91C37" w:rsidRDefault="00BA3B81" w:rsidP="00BA3B81">
      <w:pPr>
        <w:pStyle w:val="Textoindependiente"/>
        <w:tabs>
          <w:tab w:val="left" w:pos="90"/>
        </w:tabs>
        <w:spacing w:before="100" w:after="0"/>
        <w:ind w:left="45" w:hanging="17"/>
        <w:jc w:val="right"/>
        <w:rPr>
          <w:rFonts w:ascii="Arial" w:hAnsi="Arial" w:cs="Arial"/>
          <w:sz w:val="22"/>
          <w:szCs w:val="22"/>
        </w:rPr>
      </w:pPr>
      <w:r>
        <w:rPr>
          <w:rFonts w:ascii="Arial" w:hAnsi="Arial" w:cs="Arial"/>
          <w:sz w:val="22"/>
          <w:szCs w:val="22"/>
        </w:rPr>
        <w:t>20</w:t>
      </w:r>
    </w:p>
    <w:p w14:paraId="4CD8ED2C" w14:textId="77777777" w:rsidR="00E91C37" w:rsidRPr="00C1632C" w:rsidRDefault="00C1632C" w:rsidP="00E91C37">
      <w:pPr>
        <w:pStyle w:val="Ttulo1"/>
        <w:rPr>
          <w:rFonts w:ascii="Arial" w:hAnsi="Arial" w:cs="Arial"/>
          <w:b w:val="0"/>
          <w:sz w:val="20"/>
        </w:rPr>
      </w:pPr>
      <w:r>
        <w:rPr>
          <w:rFonts w:ascii="Arial" w:hAnsi="Arial" w:cs="Arial"/>
          <w:sz w:val="22"/>
          <w:szCs w:val="22"/>
        </w:rPr>
        <w:lastRenderedPageBreak/>
        <w:t xml:space="preserve">Periodo Medio de Cobro: </w:t>
      </w:r>
      <w:r w:rsidR="00E91C37" w:rsidRPr="00C1632C">
        <w:rPr>
          <w:rFonts w:ascii="Arial" w:hAnsi="Arial" w:cs="Arial"/>
          <w:b w:val="0"/>
          <w:sz w:val="20"/>
        </w:rPr>
        <w:t xml:space="preserve">Fórmula: </w:t>
      </w:r>
      <w:r w:rsidR="00E91C37" w:rsidRPr="00C1632C">
        <w:rPr>
          <w:rFonts w:ascii="Arial" w:hAnsi="Arial" w:cs="Arial"/>
          <w:b w:val="0"/>
          <w:bCs/>
          <w:i/>
          <w:sz w:val="20"/>
        </w:rPr>
        <w:t>(Cuentas por pagar netas) ((dividido) (facturación) / cantidad de meses)</w:t>
      </w:r>
    </w:p>
    <w:p w14:paraId="390F7C23" w14:textId="77777777" w:rsidR="00C1632C" w:rsidRDefault="00C1632C" w:rsidP="00E91C37">
      <w:pPr>
        <w:pStyle w:val="Ttulo1"/>
        <w:rPr>
          <w:rFonts w:ascii="Arial" w:eastAsiaTheme="minorHAnsi" w:hAnsi="Arial" w:cs="Arial"/>
          <w:b w:val="0"/>
          <w:kern w:val="0"/>
          <w:sz w:val="22"/>
          <w:szCs w:val="22"/>
          <w:lang w:val="es-CR" w:eastAsia="en-US"/>
        </w:rPr>
      </w:pPr>
    </w:p>
    <w:p w14:paraId="221A2BAD" w14:textId="77777777" w:rsidR="00E91C37" w:rsidRPr="00C1632C" w:rsidRDefault="00E91C37" w:rsidP="00C1632C">
      <w:pPr>
        <w:pStyle w:val="Ttulo1"/>
        <w:rPr>
          <w:rFonts w:ascii="Arial" w:hAnsi="Arial" w:cs="Arial"/>
          <w:color w:val="FF3333"/>
          <w:sz w:val="22"/>
          <w:szCs w:val="22"/>
        </w:rPr>
      </w:pPr>
      <w:r w:rsidRPr="00E91C37">
        <w:rPr>
          <w:rFonts w:ascii="Arial" w:hAnsi="Arial" w:cs="Arial"/>
          <w:b w:val="0"/>
          <w:bCs/>
          <w:spacing w:val="-1"/>
          <w:sz w:val="22"/>
          <w:szCs w:val="22"/>
        </w:rPr>
        <w:t xml:space="preserve">El período medio de cobro representa el tiempo promedio que tarda la </w:t>
      </w:r>
      <w:r w:rsidRPr="00E91C37">
        <w:rPr>
          <w:rFonts w:ascii="Arial" w:hAnsi="Arial" w:cs="Arial"/>
          <w:b w:val="0"/>
          <w:bCs/>
          <w:spacing w:val="-7"/>
          <w:sz w:val="22"/>
          <w:szCs w:val="22"/>
        </w:rPr>
        <w:t>Institución para la recuperación de las cuentas por cobrar.</w:t>
      </w:r>
      <w:r w:rsidRPr="00E91C37">
        <w:rPr>
          <w:rFonts w:ascii="Arial" w:hAnsi="Arial" w:cs="Arial"/>
          <w:spacing w:val="-7"/>
          <w:sz w:val="22"/>
          <w:szCs w:val="22"/>
        </w:rPr>
        <w:t xml:space="preserve"> </w:t>
      </w:r>
      <w:r w:rsidR="00C1632C">
        <w:rPr>
          <w:rFonts w:ascii="Arial" w:hAnsi="Arial" w:cs="Arial"/>
          <w:sz w:val="22"/>
          <w:szCs w:val="22"/>
        </w:rPr>
        <w:t xml:space="preserve"> </w:t>
      </w:r>
      <w:r w:rsidRPr="00E91C37">
        <w:rPr>
          <w:rFonts w:ascii="Arial" w:hAnsi="Arial" w:cs="Arial"/>
          <w:b w:val="0"/>
          <w:bCs/>
          <w:sz w:val="22"/>
          <w:szCs w:val="22"/>
        </w:rPr>
        <w:t xml:space="preserve">La facturación promedio mensual neta se calcula con base en los últimos doce meses. </w:t>
      </w:r>
    </w:p>
    <w:p w14:paraId="610A40F8" w14:textId="77777777" w:rsidR="00C1632C" w:rsidRDefault="00C1632C" w:rsidP="00C1632C">
      <w:pPr>
        <w:rPr>
          <w:rFonts w:ascii="Arial" w:hAnsi="Arial" w:cs="Arial"/>
          <w:szCs w:val="20"/>
          <w:lang w:val="es-ES"/>
        </w:rPr>
      </w:pPr>
      <w:r w:rsidRPr="00E91C37">
        <w:rPr>
          <w:rFonts w:ascii="Arial" w:hAnsi="Arial" w:cs="Arial"/>
          <w:noProof/>
          <w:lang w:eastAsia="es-CR"/>
        </w:rPr>
        <w:drawing>
          <wp:anchor distT="0" distB="0" distL="114300" distR="114300" simplePos="0" relativeHeight="251817984" behindDoc="0" locked="0" layoutInCell="1" allowOverlap="1" wp14:anchorId="2E527363" wp14:editId="2C216F76">
            <wp:simplePos x="0" y="0"/>
            <wp:positionH relativeFrom="column">
              <wp:posOffset>3133725</wp:posOffset>
            </wp:positionH>
            <wp:positionV relativeFrom="paragraph">
              <wp:posOffset>421640</wp:posOffset>
            </wp:positionV>
            <wp:extent cx="3032760" cy="2148840"/>
            <wp:effectExtent l="0" t="0" r="0" b="381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32760" cy="214884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lang w:val="es-ES"/>
        </w:rPr>
        <w:t xml:space="preserve">                                                                                 Gráfico 10</w:t>
      </w:r>
    </w:p>
    <w:p w14:paraId="616B61FA" w14:textId="77777777" w:rsidR="00E91C37" w:rsidRPr="00E91C37" w:rsidRDefault="00E91C37" w:rsidP="00E91C37">
      <w:pPr>
        <w:shd w:val="clear" w:color="auto" w:fill="FFFFFF"/>
        <w:spacing w:line="100" w:lineRule="atLeast"/>
        <w:rPr>
          <w:rFonts w:ascii="Arial" w:hAnsi="Arial" w:cs="Arial"/>
        </w:rPr>
      </w:pPr>
      <w:r w:rsidRPr="00E91C37">
        <w:rPr>
          <w:rFonts w:ascii="Arial" w:hAnsi="Arial" w:cs="Arial"/>
          <w:spacing w:val="-7"/>
        </w:rPr>
        <w:t>Al 31 de diciembre del 2018, el resultado de este indicador fue de 0.96 puntos esto representa que la Institución tardó 29 días, en la recuperación de la facturación puesta al cobro y para el mismo periodo del 2017 el resultado fue de 1.05 (31 días), lo que refleja una leve mejora al mostrarse un decrecimiento de dos días (0.09), en la recuperación de la facturación.  Las cuentas por cobrar netas servicios reflejan un crecimiento de ¢51 millones.  Por otra parte, la estimación de incobrables crece en ¢515 millones, producto de un crecimiento en los saldos con más de 40 años de antigüedad.</w:t>
      </w:r>
    </w:p>
    <w:p w14:paraId="6F9AA5A2" w14:textId="77777777" w:rsidR="00E91C37" w:rsidRPr="00C1632C" w:rsidRDefault="00E91C37" w:rsidP="00C1632C">
      <w:pPr>
        <w:shd w:val="clear" w:color="auto" w:fill="FFFFFF"/>
        <w:spacing w:line="100" w:lineRule="atLeast"/>
        <w:rPr>
          <w:rFonts w:ascii="Arial" w:hAnsi="Arial" w:cs="Arial"/>
        </w:rPr>
      </w:pPr>
      <w:r w:rsidRPr="00C1632C">
        <w:rPr>
          <w:rFonts w:ascii="Arial" w:hAnsi="Arial" w:cs="Arial"/>
          <w:b/>
        </w:rPr>
        <w:t>Endeudamiento</w:t>
      </w:r>
      <w:r w:rsidRPr="00E91C37">
        <w:rPr>
          <w:rFonts w:ascii="Arial" w:hAnsi="Arial" w:cs="Arial"/>
        </w:rPr>
        <w:t>:</w:t>
      </w:r>
      <w:r w:rsidRPr="00E91C37">
        <w:rPr>
          <w:rFonts w:ascii="Arial" w:hAnsi="Arial" w:cs="Arial"/>
          <w:b/>
          <w:bCs/>
          <w:i/>
        </w:rPr>
        <w:t xml:space="preserve"> </w:t>
      </w:r>
      <w:r w:rsidRPr="00C1632C">
        <w:rPr>
          <w:rFonts w:ascii="Arial" w:hAnsi="Arial" w:cs="Arial"/>
          <w:sz w:val="20"/>
          <w:szCs w:val="20"/>
        </w:rPr>
        <w:t>Fórmula:</w:t>
      </w:r>
      <w:r w:rsidRPr="00C1632C">
        <w:rPr>
          <w:rFonts w:ascii="Arial" w:hAnsi="Arial" w:cs="Arial"/>
          <w:b/>
          <w:bCs/>
          <w:i/>
          <w:sz w:val="20"/>
          <w:szCs w:val="20"/>
        </w:rPr>
        <w:t xml:space="preserve"> (Pasivo total / Activo total</w:t>
      </w:r>
      <w:r w:rsidRPr="00E91C37">
        <w:rPr>
          <w:rFonts w:ascii="Arial" w:hAnsi="Arial" w:cs="Arial"/>
          <w:b/>
          <w:bCs/>
          <w:i/>
        </w:rPr>
        <w:t>)</w:t>
      </w:r>
    </w:p>
    <w:p w14:paraId="1AD134AF" w14:textId="77777777" w:rsidR="00E91C37" w:rsidRPr="00E91C37" w:rsidRDefault="00E91C37" w:rsidP="00E91C37">
      <w:pPr>
        <w:shd w:val="clear" w:color="auto" w:fill="FFFFFF"/>
        <w:spacing w:line="100" w:lineRule="atLeast"/>
        <w:rPr>
          <w:rFonts w:ascii="Arial" w:hAnsi="Arial" w:cs="Arial"/>
          <w:color w:val="FF3333"/>
        </w:rPr>
      </w:pPr>
      <w:r w:rsidRPr="00E91C37">
        <w:rPr>
          <w:rFonts w:ascii="Arial" w:hAnsi="Arial" w:cs="Arial"/>
          <w:i/>
        </w:rPr>
        <w:t>Es el porcentaje de los activos de la Institución que han sido proporcionados por los acreedores.</w:t>
      </w:r>
    </w:p>
    <w:p w14:paraId="66DEE8BA" w14:textId="77777777" w:rsidR="00C1632C" w:rsidRDefault="00C1632C" w:rsidP="00C1632C">
      <w:pPr>
        <w:rPr>
          <w:rFonts w:ascii="Arial" w:hAnsi="Arial" w:cs="Arial"/>
          <w:szCs w:val="20"/>
          <w:lang w:val="es-ES"/>
        </w:rPr>
      </w:pPr>
      <w:r w:rsidRPr="00E91C37">
        <w:rPr>
          <w:rFonts w:ascii="Arial" w:hAnsi="Arial" w:cs="Arial"/>
          <w:noProof/>
          <w:lang w:eastAsia="es-CR"/>
        </w:rPr>
        <w:drawing>
          <wp:anchor distT="0" distB="0" distL="114300" distR="114300" simplePos="0" relativeHeight="251816960" behindDoc="0" locked="0" layoutInCell="1" allowOverlap="1" wp14:anchorId="19BDDB2F" wp14:editId="238E6155">
            <wp:simplePos x="0" y="0"/>
            <wp:positionH relativeFrom="margin">
              <wp:posOffset>-91440</wp:posOffset>
            </wp:positionH>
            <wp:positionV relativeFrom="paragraph">
              <wp:posOffset>333375</wp:posOffset>
            </wp:positionV>
            <wp:extent cx="3208020" cy="2143125"/>
            <wp:effectExtent l="0" t="0" r="0" b="9525"/>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8020" cy="21431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lang w:val="es-ES"/>
        </w:rPr>
        <w:t>Gráfico 11</w:t>
      </w:r>
    </w:p>
    <w:p w14:paraId="10930888" w14:textId="77777777" w:rsidR="00E91C37" w:rsidRPr="00E91C37" w:rsidRDefault="00E91C37" w:rsidP="00E91C37">
      <w:pPr>
        <w:pStyle w:val="WW-Predeterminado"/>
        <w:shd w:val="clear" w:color="auto" w:fill="FFFFFF"/>
        <w:spacing w:line="100" w:lineRule="atLeast"/>
        <w:jc w:val="both"/>
        <w:rPr>
          <w:rFonts w:ascii="Arial" w:eastAsia="Times New Roman" w:hAnsi="Arial" w:cs="Arial"/>
          <w:spacing w:val="-7"/>
          <w:sz w:val="22"/>
          <w:szCs w:val="22"/>
        </w:rPr>
      </w:pPr>
      <w:r w:rsidRPr="00E91C37">
        <w:rPr>
          <w:rFonts w:ascii="Arial" w:eastAsia="Times New Roman" w:hAnsi="Arial" w:cs="Arial"/>
          <w:spacing w:val="-7"/>
          <w:sz w:val="22"/>
          <w:szCs w:val="22"/>
        </w:rPr>
        <w:t xml:space="preserve"> A diciembre del 2018 el porcentaje de endeudamiento de la Institución fue de un 10.40% del total de sus activos, mientras que para el período 2017 el resultado obtenido fue menor al alcanzar un 10.03%, generando un crecimiento de 0.37 puntos (4%) producto de una mejor ejecución en los desembolsos de los préstamos externos. Esto indica que por cada colón que AyA tiene en activos, únicamente ocuparía 10.40% para hacer frente a sus pasivos.</w:t>
      </w:r>
    </w:p>
    <w:p w14:paraId="73BAFE87" w14:textId="77777777" w:rsidR="00E91C37" w:rsidRPr="00E91C37" w:rsidRDefault="00E91C37" w:rsidP="00E91C37">
      <w:pPr>
        <w:pStyle w:val="WW-Predeterminado"/>
        <w:shd w:val="clear" w:color="auto" w:fill="FFFFFF"/>
        <w:spacing w:line="100" w:lineRule="atLeast"/>
        <w:jc w:val="both"/>
        <w:rPr>
          <w:rFonts w:ascii="Arial" w:eastAsia="Times New Roman" w:hAnsi="Arial" w:cs="Arial"/>
          <w:spacing w:val="-7"/>
          <w:sz w:val="22"/>
          <w:szCs w:val="22"/>
        </w:rPr>
      </w:pPr>
    </w:p>
    <w:p w14:paraId="67C378ED" w14:textId="77777777" w:rsidR="00E25DD7" w:rsidRDefault="00E91C37" w:rsidP="00E25DD7">
      <w:pPr>
        <w:pStyle w:val="WW-Predeterminado"/>
        <w:shd w:val="clear" w:color="auto" w:fill="FFFFFF"/>
        <w:tabs>
          <w:tab w:val="left" w:pos="-195"/>
          <w:tab w:val="left" w:pos="30"/>
        </w:tabs>
        <w:spacing w:line="100" w:lineRule="atLeast"/>
        <w:ind w:right="14"/>
        <w:jc w:val="both"/>
        <w:rPr>
          <w:rFonts w:ascii="Arial" w:eastAsia="Times New Roman" w:hAnsi="Arial" w:cs="Arial"/>
          <w:spacing w:val="-7"/>
          <w:sz w:val="22"/>
          <w:szCs w:val="22"/>
        </w:rPr>
      </w:pPr>
      <w:r w:rsidRPr="00E91C37">
        <w:rPr>
          <w:rFonts w:ascii="Arial" w:eastAsia="Times New Roman" w:hAnsi="Arial" w:cs="Arial"/>
          <w:spacing w:val="-7"/>
          <w:sz w:val="22"/>
          <w:szCs w:val="22"/>
        </w:rPr>
        <w:t xml:space="preserve">El aumento del Activo Total de ¢65,426 millones (9%) se refleja principalmente en la cuenta Propiedad, Planta y Equipo (PPE) con un incremento de ¢67,494 millones (9.9%). </w:t>
      </w:r>
    </w:p>
    <w:p w14:paraId="51030DEA" w14:textId="77777777" w:rsidR="00E25DD7" w:rsidRDefault="00E25DD7" w:rsidP="00E25DD7">
      <w:pPr>
        <w:pStyle w:val="WW-Predeterminado"/>
        <w:shd w:val="clear" w:color="auto" w:fill="FFFFFF"/>
        <w:tabs>
          <w:tab w:val="left" w:pos="-195"/>
          <w:tab w:val="left" w:pos="30"/>
        </w:tabs>
        <w:spacing w:line="100" w:lineRule="atLeast"/>
        <w:ind w:right="14"/>
        <w:jc w:val="both"/>
        <w:rPr>
          <w:rFonts w:ascii="Arial" w:eastAsia="Times New Roman" w:hAnsi="Arial" w:cs="Arial"/>
          <w:spacing w:val="-7"/>
          <w:sz w:val="22"/>
          <w:szCs w:val="22"/>
        </w:rPr>
      </w:pPr>
    </w:p>
    <w:p w14:paraId="7D39A079" w14:textId="77777777" w:rsidR="00BA3B81" w:rsidRDefault="00BA3B81" w:rsidP="00BA3B81">
      <w:pPr>
        <w:pStyle w:val="WW-Predeterminado"/>
        <w:shd w:val="clear" w:color="auto" w:fill="FFFFFF"/>
        <w:tabs>
          <w:tab w:val="left" w:pos="-195"/>
          <w:tab w:val="left" w:pos="30"/>
        </w:tabs>
        <w:spacing w:line="100" w:lineRule="atLeast"/>
        <w:ind w:right="14"/>
        <w:jc w:val="right"/>
        <w:rPr>
          <w:rFonts w:ascii="Arial" w:eastAsia="Times New Roman" w:hAnsi="Arial" w:cs="Arial"/>
          <w:sz w:val="22"/>
          <w:szCs w:val="22"/>
        </w:rPr>
      </w:pPr>
      <w:r>
        <w:rPr>
          <w:rFonts w:ascii="Arial" w:eastAsia="Times New Roman" w:hAnsi="Arial" w:cs="Arial"/>
          <w:sz w:val="22"/>
          <w:szCs w:val="22"/>
        </w:rPr>
        <w:t>21</w:t>
      </w:r>
    </w:p>
    <w:p w14:paraId="26CE3353" w14:textId="77777777" w:rsidR="00A47C19" w:rsidRPr="00E25DD7" w:rsidRDefault="00E91C37" w:rsidP="00E25DD7">
      <w:pPr>
        <w:pStyle w:val="WW-Predeterminado"/>
        <w:shd w:val="clear" w:color="auto" w:fill="FFFFFF"/>
        <w:tabs>
          <w:tab w:val="left" w:pos="-195"/>
          <w:tab w:val="left" w:pos="30"/>
        </w:tabs>
        <w:spacing w:line="100" w:lineRule="atLeast"/>
        <w:ind w:right="14"/>
        <w:jc w:val="both"/>
        <w:rPr>
          <w:rFonts w:ascii="Arial" w:eastAsia="Times New Roman" w:hAnsi="Arial" w:cs="Arial"/>
          <w:spacing w:val="-7"/>
          <w:sz w:val="22"/>
          <w:szCs w:val="22"/>
        </w:rPr>
      </w:pPr>
      <w:r w:rsidRPr="00E25DD7">
        <w:rPr>
          <w:rFonts w:ascii="Arial" w:eastAsia="Times New Roman" w:hAnsi="Arial" w:cs="Arial"/>
          <w:sz w:val="22"/>
          <w:szCs w:val="22"/>
        </w:rPr>
        <w:lastRenderedPageBreak/>
        <w:t>El Pasivo Total muestra un crecimiento neto de ¢9,544 millones (12.8%), reflejándose principalmente el rubro del Pasivo no Corriente por ¢8,556 millones, específicamente en la cuenta de Otros Ingresos Diferidos que presenta un saldo de ¢7,089 millones.  Esto obedece a la implementación de la nueva Política Contable para el registro de las donaciones que establece que éstas se deben diferir en el período de la vida útil de los activos recibidos, por tanto, se contabilizan originalmente como un pasivo diferido y se amortizan conforme se realizan. Es decir, la amortización del Ingreso Diferido se registra en la misma proporción del Gasto de Depreciación Histórica de los elementos de Propiedad</w:t>
      </w:r>
      <w:r w:rsidR="00A47C19" w:rsidRPr="00E25DD7">
        <w:rPr>
          <w:rFonts w:ascii="Arial" w:eastAsia="Times New Roman" w:hAnsi="Arial" w:cs="Arial"/>
          <w:sz w:val="22"/>
          <w:szCs w:val="22"/>
        </w:rPr>
        <w:t>, Planta y Equipo relacionados.</w:t>
      </w:r>
    </w:p>
    <w:p w14:paraId="4F93CA3F" w14:textId="77777777" w:rsidR="00A47C19" w:rsidRDefault="00A47C19" w:rsidP="00A47C19">
      <w:pPr>
        <w:spacing w:before="0" w:beforeAutospacing="0" w:after="0" w:afterAutospacing="0" w:line="240" w:lineRule="auto"/>
        <w:rPr>
          <w:rFonts w:ascii="Arial" w:eastAsia="Times New Roman" w:hAnsi="Arial" w:cs="Arial"/>
          <w:lang w:eastAsia="ar-SA"/>
        </w:rPr>
      </w:pPr>
    </w:p>
    <w:p w14:paraId="73C2BD95" w14:textId="77777777" w:rsidR="00A47C19" w:rsidRDefault="00A47C19" w:rsidP="00A47C19">
      <w:pPr>
        <w:spacing w:before="0" w:beforeAutospacing="0" w:after="0" w:afterAutospacing="0" w:line="240" w:lineRule="auto"/>
        <w:rPr>
          <w:rFonts w:ascii="Arial" w:hAnsi="Arial" w:cs="Arial"/>
          <w:b/>
        </w:rPr>
      </w:pPr>
    </w:p>
    <w:p w14:paraId="10EFF026" w14:textId="77777777" w:rsidR="00E91C37" w:rsidRDefault="00E91C37" w:rsidP="00A47C19">
      <w:pPr>
        <w:spacing w:before="0" w:beforeAutospacing="0" w:after="0" w:afterAutospacing="0" w:line="240" w:lineRule="auto"/>
        <w:rPr>
          <w:rFonts w:ascii="Arial" w:hAnsi="Arial" w:cs="Arial"/>
          <w:bCs/>
          <w:i/>
          <w:sz w:val="20"/>
          <w:szCs w:val="20"/>
        </w:rPr>
      </w:pPr>
      <w:r w:rsidRPr="00A47C19">
        <w:rPr>
          <w:rFonts w:ascii="Arial" w:hAnsi="Arial" w:cs="Arial"/>
          <w:b/>
        </w:rPr>
        <w:t>Energía Eléctrica</w:t>
      </w:r>
      <w:r w:rsidR="00A47C19">
        <w:rPr>
          <w:rFonts w:ascii="Arial" w:hAnsi="Arial" w:cs="Arial"/>
        </w:rPr>
        <w:t>:</w:t>
      </w:r>
      <w:r w:rsidR="00A47C19">
        <w:rPr>
          <w:rFonts w:ascii="Arial" w:hAnsi="Arial" w:cs="Arial"/>
          <w:b/>
          <w:i/>
        </w:rPr>
        <w:t xml:space="preserve"> </w:t>
      </w:r>
      <w:r w:rsidRPr="00A47C19">
        <w:rPr>
          <w:rFonts w:ascii="Arial" w:hAnsi="Arial" w:cs="Arial"/>
          <w:sz w:val="20"/>
          <w:szCs w:val="20"/>
        </w:rPr>
        <w:t xml:space="preserve">Fórmula </w:t>
      </w:r>
      <w:r w:rsidRPr="00A47C19">
        <w:rPr>
          <w:rFonts w:ascii="Arial" w:hAnsi="Arial" w:cs="Arial"/>
          <w:i/>
          <w:sz w:val="20"/>
          <w:szCs w:val="20"/>
        </w:rPr>
        <w:t>(Energía Eléctrica / Ingresos de Operación sin otros ingresos)</w:t>
      </w:r>
      <w:r w:rsidRPr="00A47C19">
        <w:rPr>
          <w:rFonts w:ascii="Arial" w:hAnsi="Arial" w:cs="Arial"/>
          <w:bCs/>
          <w:i/>
          <w:sz w:val="20"/>
          <w:szCs w:val="20"/>
        </w:rPr>
        <w:t xml:space="preserve"> </w:t>
      </w:r>
    </w:p>
    <w:p w14:paraId="5FDC8E63" w14:textId="77777777" w:rsidR="00A47C19" w:rsidRPr="00A47C19" w:rsidRDefault="00A47C19" w:rsidP="00A47C19">
      <w:pPr>
        <w:spacing w:before="0" w:beforeAutospacing="0" w:after="0" w:afterAutospacing="0" w:line="240" w:lineRule="auto"/>
        <w:rPr>
          <w:rFonts w:ascii="Arial" w:eastAsia="Times New Roman" w:hAnsi="Arial" w:cs="Arial"/>
          <w:sz w:val="20"/>
          <w:szCs w:val="20"/>
          <w:lang w:eastAsia="ar-SA"/>
        </w:rPr>
      </w:pPr>
    </w:p>
    <w:p w14:paraId="2B4F48BA" w14:textId="77777777" w:rsidR="00E91C37" w:rsidRPr="00E91C37" w:rsidRDefault="00E91C37" w:rsidP="00E91C37">
      <w:pPr>
        <w:pStyle w:val="Ttulo1"/>
        <w:spacing w:after="119"/>
        <w:jc w:val="both"/>
        <w:rPr>
          <w:rFonts w:ascii="Arial" w:hAnsi="Arial" w:cs="Arial"/>
          <w:color w:val="FF3333"/>
          <w:sz w:val="22"/>
          <w:szCs w:val="22"/>
        </w:rPr>
      </w:pPr>
      <w:r w:rsidRPr="00E91C37">
        <w:rPr>
          <w:rFonts w:ascii="Arial" w:hAnsi="Arial" w:cs="Arial"/>
          <w:b w:val="0"/>
          <w:bCs/>
          <w:sz w:val="22"/>
          <w:szCs w:val="22"/>
        </w:rPr>
        <w:t>Es el porcentaje que representa los costos por energía eléctrica dentro de los ingresos operacionales</w:t>
      </w:r>
    </w:p>
    <w:p w14:paraId="1BA5DC77" w14:textId="77777777" w:rsidR="00A47C19" w:rsidRDefault="00A47C19" w:rsidP="00A47C19">
      <w:pPr>
        <w:rPr>
          <w:rFonts w:ascii="Arial" w:hAnsi="Arial" w:cs="Arial"/>
          <w:szCs w:val="20"/>
          <w:lang w:val="es-ES"/>
        </w:rPr>
      </w:pPr>
      <w:r w:rsidRPr="00E91C37">
        <w:rPr>
          <w:rFonts w:ascii="Arial" w:hAnsi="Arial" w:cs="Arial"/>
          <w:noProof/>
          <w:lang w:eastAsia="es-CR"/>
        </w:rPr>
        <w:drawing>
          <wp:anchor distT="0" distB="0" distL="114300" distR="114300" simplePos="0" relativeHeight="251819008" behindDoc="0" locked="0" layoutInCell="1" allowOverlap="1" wp14:anchorId="2838C9C1" wp14:editId="25A0BCB8">
            <wp:simplePos x="0" y="0"/>
            <wp:positionH relativeFrom="column">
              <wp:posOffset>2950845</wp:posOffset>
            </wp:positionH>
            <wp:positionV relativeFrom="paragraph">
              <wp:posOffset>363855</wp:posOffset>
            </wp:positionV>
            <wp:extent cx="3147060" cy="2272030"/>
            <wp:effectExtent l="0" t="0" r="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7060" cy="22720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lang w:val="es-ES"/>
        </w:rPr>
        <w:t xml:space="preserve">                                                                              Gráfico 12</w:t>
      </w:r>
    </w:p>
    <w:p w14:paraId="4507935A" w14:textId="77777777" w:rsidR="00E91C37" w:rsidRPr="00E91C37" w:rsidRDefault="00E91C37" w:rsidP="00E91C37">
      <w:pPr>
        <w:pStyle w:val="Ttulo1"/>
        <w:spacing w:after="119"/>
        <w:jc w:val="both"/>
        <w:rPr>
          <w:rFonts w:ascii="Arial" w:hAnsi="Arial" w:cs="Arial"/>
          <w:color w:val="FF3333"/>
          <w:sz w:val="22"/>
          <w:szCs w:val="22"/>
        </w:rPr>
      </w:pPr>
    </w:p>
    <w:p w14:paraId="4EACC088" w14:textId="77777777" w:rsidR="00E91C37" w:rsidRPr="00E91C37" w:rsidRDefault="00E91C37" w:rsidP="00E91C37">
      <w:pPr>
        <w:pStyle w:val="Standard"/>
        <w:tabs>
          <w:tab w:val="left" w:pos="4050"/>
        </w:tabs>
        <w:jc w:val="both"/>
        <w:rPr>
          <w:rFonts w:ascii="Arial" w:hAnsi="Arial" w:cs="Arial"/>
          <w:sz w:val="22"/>
          <w:szCs w:val="22"/>
        </w:rPr>
      </w:pPr>
      <w:r w:rsidRPr="00E91C37">
        <w:rPr>
          <w:rFonts w:ascii="Arial" w:hAnsi="Arial" w:cs="Arial"/>
          <w:sz w:val="22"/>
          <w:szCs w:val="22"/>
        </w:rPr>
        <w:t xml:space="preserve">Para diciembre 2018, este indicador refleja un decrecimiento favorable de 0.32 puntos (4%), con relación al mismo periodo del 2017.  Los gastos por servicios eléctricos para el 31 de diciembre del 2017 ascienden a un monto de ¢11,566 millones, mientras que para diciembre del año 2018 el monto fue de ¢12,267 millones, generando un crecimiento de ¢700 millones (6%). </w:t>
      </w:r>
    </w:p>
    <w:p w14:paraId="5462FD44" w14:textId="77777777" w:rsidR="00E91C37" w:rsidRPr="00E91C37" w:rsidRDefault="00E91C37" w:rsidP="00E91C37">
      <w:pPr>
        <w:pStyle w:val="Standard"/>
        <w:tabs>
          <w:tab w:val="left" w:pos="4050"/>
        </w:tabs>
        <w:jc w:val="both"/>
        <w:rPr>
          <w:rFonts w:ascii="Arial" w:hAnsi="Arial" w:cs="Arial"/>
          <w:sz w:val="22"/>
          <w:szCs w:val="22"/>
        </w:rPr>
      </w:pPr>
    </w:p>
    <w:p w14:paraId="749B0E10" w14:textId="77777777" w:rsidR="00E91C37" w:rsidRPr="00E91C37" w:rsidRDefault="00E91C37" w:rsidP="00E91C37">
      <w:pPr>
        <w:pStyle w:val="Standard"/>
        <w:tabs>
          <w:tab w:val="left" w:pos="4050"/>
        </w:tabs>
        <w:jc w:val="both"/>
        <w:rPr>
          <w:rFonts w:ascii="Arial" w:hAnsi="Arial" w:cs="Arial"/>
          <w:sz w:val="22"/>
          <w:szCs w:val="22"/>
        </w:rPr>
      </w:pPr>
    </w:p>
    <w:p w14:paraId="7B777F62" w14:textId="77777777" w:rsidR="00E91C37" w:rsidRPr="00E91C37" w:rsidRDefault="00E91C37" w:rsidP="00E91C37">
      <w:pPr>
        <w:pStyle w:val="Standard"/>
        <w:tabs>
          <w:tab w:val="left" w:pos="4050"/>
        </w:tabs>
        <w:jc w:val="both"/>
        <w:rPr>
          <w:rFonts w:ascii="Arial" w:hAnsi="Arial" w:cs="Arial"/>
          <w:sz w:val="22"/>
          <w:szCs w:val="22"/>
        </w:rPr>
      </w:pPr>
    </w:p>
    <w:p w14:paraId="325ED14E" w14:textId="77777777" w:rsidR="00E91C37" w:rsidRPr="00E91C37" w:rsidRDefault="00E91C37" w:rsidP="00E91C37">
      <w:pPr>
        <w:pStyle w:val="Standard"/>
        <w:tabs>
          <w:tab w:val="left" w:pos="4050"/>
        </w:tabs>
        <w:jc w:val="both"/>
        <w:rPr>
          <w:rFonts w:ascii="Arial" w:hAnsi="Arial" w:cs="Arial"/>
          <w:sz w:val="22"/>
          <w:szCs w:val="22"/>
        </w:rPr>
      </w:pPr>
    </w:p>
    <w:p w14:paraId="7A907D2A" w14:textId="77777777" w:rsidR="00E91C37" w:rsidRPr="00E91C37" w:rsidRDefault="00E91C37" w:rsidP="00E91C37">
      <w:pPr>
        <w:pStyle w:val="Standard"/>
        <w:tabs>
          <w:tab w:val="left" w:pos="4050"/>
        </w:tabs>
        <w:jc w:val="both"/>
        <w:rPr>
          <w:rFonts w:ascii="Arial" w:hAnsi="Arial" w:cs="Arial"/>
          <w:sz w:val="22"/>
          <w:szCs w:val="22"/>
        </w:rPr>
      </w:pPr>
    </w:p>
    <w:p w14:paraId="141EC0AD" w14:textId="77777777" w:rsidR="00E91C37" w:rsidRPr="00E91C37" w:rsidRDefault="00E91C37" w:rsidP="00E91C37">
      <w:pPr>
        <w:pStyle w:val="Standard"/>
        <w:tabs>
          <w:tab w:val="left" w:pos="4050"/>
        </w:tabs>
        <w:jc w:val="both"/>
        <w:rPr>
          <w:rFonts w:ascii="Arial" w:hAnsi="Arial" w:cs="Arial"/>
          <w:sz w:val="22"/>
          <w:szCs w:val="22"/>
        </w:rPr>
      </w:pPr>
      <w:r w:rsidRPr="00E91C37">
        <w:rPr>
          <w:rFonts w:ascii="Arial" w:hAnsi="Arial" w:cs="Arial"/>
          <w:sz w:val="22"/>
          <w:szCs w:val="22"/>
        </w:rPr>
        <w:t>El gasto de energía eléctrica que generan las plantas de tratamiento es el siguiente:</w:t>
      </w:r>
    </w:p>
    <w:p w14:paraId="7AD26F9B" w14:textId="77777777" w:rsidR="00E91C37" w:rsidRPr="00E91C37" w:rsidRDefault="00E91C37" w:rsidP="00E91C37">
      <w:pPr>
        <w:pStyle w:val="Standard"/>
        <w:tabs>
          <w:tab w:val="left" w:pos="4050"/>
        </w:tabs>
        <w:jc w:val="both"/>
        <w:rPr>
          <w:rFonts w:ascii="Arial" w:hAnsi="Arial" w:cs="Arial"/>
          <w:sz w:val="22"/>
          <w:szCs w:val="22"/>
        </w:rPr>
      </w:pPr>
    </w:p>
    <w:p w14:paraId="76108770" w14:textId="77777777" w:rsidR="00E91C37" w:rsidRPr="00E91C37" w:rsidRDefault="00E91C37" w:rsidP="00E91C37">
      <w:pPr>
        <w:pStyle w:val="Standard"/>
        <w:tabs>
          <w:tab w:val="left" w:pos="4050"/>
        </w:tabs>
        <w:jc w:val="center"/>
        <w:rPr>
          <w:rFonts w:ascii="Arial" w:hAnsi="Arial" w:cs="Arial"/>
          <w:sz w:val="22"/>
          <w:szCs w:val="22"/>
        </w:rPr>
      </w:pPr>
      <w:r w:rsidRPr="00E91C37">
        <w:rPr>
          <w:rFonts w:ascii="Arial" w:hAnsi="Arial" w:cs="Arial"/>
          <w:noProof/>
          <w:sz w:val="22"/>
          <w:szCs w:val="22"/>
          <w:lang w:val="es-CR" w:eastAsia="es-CR"/>
        </w:rPr>
        <w:drawing>
          <wp:inline distT="0" distB="0" distL="0" distR="0" wp14:anchorId="22749CE3" wp14:editId="6EB37339">
            <wp:extent cx="3783634" cy="154686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7171" cy="1548306"/>
                    </a:xfrm>
                    <a:prstGeom prst="rect">
                      <a:avLst/>
                    </a:prstGeom>
                    <a:noFill/>
                    <a:ln>
                      <a:noFill/>
                    </a:ln>
                  </pic:spPr>
                </pic:pic>
              </a:graphicData>
            </a:graphic>
          </wp:inline>
        </w:drawing>
      </w:r>
    </w:p>
    <w:p w14:paraId="7328D6E2" w14:textId="77777777" w:rsidR="00E91C37" w:rsidRPr="00E91C37" w:rsidRDefault="00BA3B81" w:rsidP="00BA3B81">
      <w:pPr>
        <w:pStyle w:val="Standard"/>
        <w:tabs>
          <w:tab w:val="left" w:pos="4050"/>
        </w:tabs>
        <w:jc w:val="right"/>
        <w:rPr>
          <w:rFonts w:ascii="Arial" w:hAnsi="Arial" w:cs="Arial"/>
          <w:sz w:val="22"/>
          <w:szCs w:val="22"/>
        </w:rPr>
      </w:pPr>
      <w:r>
        <w:rPr>
          <w:rFonts w:ascii="Arial" w:hAnsi="Arial" w:cs="Arial"/>
          <w:sz w:val="22"/>
          <w:szCs w:val="22"/>
        </w:rPr>
        <w:t>22</w:t>
      </w:r>
    </w:p>
    <w:p w14:paraId="00C89E68" w14:textId="77777777" w:rsidR="00E91C37" w:rsidRPr="00E91C37" w:rsidRDefault="00E91C37" w:rsidP="00E91C37">
      <w:pPr>
        <w:pStyle w:val="Standard"/>
        <w:jc w:val="both"/>
        <w:rPr>
          <w:rFonts w:ascii="Arial" w:hAnsi="Arial" w:cs="Arial"/>
          <w:color w:val="0000FF"/>
          <w:sz w:val="22"/>
          <w:szCs w:val="22"/>
        </w:rPr>
      </w:pPr>
      <w:r w:rsidRPr="00E91C37">
        <w:rPr>
          <w:rFonts w:ascii="Arial" w:hAnsi="Arial" w:cs="Arial"/>
          <w:sz w:val="22"/>
          <w:szCs w:val="22"/>
        </w:rPr>
        <w:lastRenderedPageBreak/>
        <w:t>A continuación, se presenta el detalle del gasto porcentual de la GAM y Periféricos con respecto al total del gasto de energía.  (Datos generados de la contabilidad de costos).</w:t>
      </w:r>
    </w:p>
    <w:p w14:paraId="2B71AA77" w14:textId="77777777" w:rsidR="00E91C37" w:rsidRPr="00E91C37" w:rsidRDefault="00E91C37" w:rsidP="00E91C37">
      <w:pPr>
        <w:pStyle w:val="Standard"/>
        <w:jc w:val="both"/>
        <w:rPr>
          <w:rFonts w:ascii="Arial" w:hAnsi="Arial" w:cs="Arial"/>
          <w:color w:val="0000FF"/>
          <w:sz w:val="22"/>
          <w:szCs w:val="22"/>
        </w:rPr>
      </w:pPr>
    </w:p>
    <w:p w14:paraId="42A550ED" w14:textId="77777777" w:rsidR="00E91C37" w:rsidRPr="00E91C37" w:rsidRDefault="00E91C37" w:rsidP="00E91C37">
      <w:pPr>
        <w:pStyle w:val="Standard"/>
        <w:jc w:val="center"/>
        <w:rPr>
          <w:rFonts w:ascii="Arial" w:hAnsi="Arial" w:cs="Arial"/>
          <w:color w:val="0000FF"/>
          <w:sz w:val="22"/>
          <w:szCs w:val="22"/>
        </w:rPr>
      </w:pPr>
      <w:r w:rsidRPr="00E91C37">
        <w:rPr>
          <w:rFonts w:ascii="Arial" w:hAnsi="Arial" w:cs="Arial"/>
          <w:noProof/>
          <w:sz w:val="22"/>
          <w:szCs w:val="22"/>
          <w:lang w:val="es-CR" w:eastAsia="es-CR"/>
        </w:rPr>
        <w:drawing>
          <wp:inline distT="0" distB="0" distL="0" distR="0" wp14:anchorId="75584BD6" wp14:editId="576253F1">
            <wp:extent cx="5364480" cy="2499360"/>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4480" cy="2499360"/>
                    </a:xfrm>
                    <a:prstGeom prst="rect">
                      <a:avLst/>
                    </a:prstGeom>
                    <a:noFill/>
                    <a:ln>
                      <a:noFill/>
                    </a:ln>
                  </pic:spPr>
                </pic:pic>
              </a:graphicData>
            </a:graphic>
          </wp:inline>
        </w:drawing>
      </w:r>
    </w:p>
    <w:p w14:paraId="5B1E7431" w14:textId="77777777" w:rsidR="00E91C37" w:rsidRPr="00E91C37" w:rsidRDefault="00E91C37" w:rsidP="00E91C37">
      <w:pPr>
        <w:pStyle w:val="Standard"/>
        <w:jc w:val="both"/>
        <w:rPr>
          <w:rFonts w:ascii="Arial" w:hAnsi="Arial" w:cs="Arial"/>
          <w:sz w:val="22"/>
          <w:szCs w:val="22"/>
        </w:rPr>
      </w:pPr>
    </w:p>
    <w:p w14:paraId="3A5C6719" w14:textId="77777777" w:rsidR="00E91C37" w:rsidRPr="00E91C37" w:rsidRDefault="00E91C37" w:rsidP="00E91C37">
      <w:pPr>
        <w:pStyle w:val="Standard"/>
        <w:jc w:val="both"/>
        <w:rPr>
          <w:rFonts w:ascii="Arial" w:hAnsi="Arial" w:cs="Arial"/>
          <w:sz w:val="22"/>
          <w:szCs w:val="22"/>
        </w:rPr>
      </w:pPr>
      <w:r w:rsidRPr="00E91C37">
        <w:rPr>
          <w:rFonts w:ascii="Arial" w:hAnsi="Arial" w:cs="Arial"/>
          <w:sz w:val="22"/>
          <w:szCs w:val="22"/>
        </w:rPr>
        <w:t xml:space="preserve">Vale destacar que, el total de gastos por energía de la GAM asciende a un monto de ¢7,857 millones de los cuales el 37% (¢2,891 millones) corresponde a las plantas de Puente Mulas y San Rafael de Escazú.  </w:t>
      </w:r>
    </w:p>
    <w:p w14:paraId="05EC081F" w14:textId="77777777" w:rsidR="00E91C37" w:rsidRPr="00E91C37" w:rsidRDefault="00E91C37" w:rsidP="00E91C37">
      <w:pPr>
        <w:pStyle w:val="Standard"/>
        <w:jc w:val="both"/>
        <w:rPr>
          <w:rFonts w:ascii="Arial" w:hAnsi="Arial" w:cs="Arial"/>
          <w:sz w:val="22"/>
          <w:szCs w:val="22"/>
        </w:rPr>
      </w:pPr>
    </w:p>
    <w:p w14:paraId="4B003F2A" w14:textId="77777777" w:rsidR="00E91C37" w:rsidRPr="00E91C37" w:rsidRDefault="00E91C37" w:rsidP="00E91C37">
      <w:pPr>
        <w:pStyle w:val="Standard"/>
        <w:jc w:val="both"/>
        <w:rPr>
          <w:rFonts w:ascii="Arial" w:hAnsi="Arial" w:cs="Arial"/>
          <w:color w:val="0000FF"/>
          <w:sz w:val="22"/>
          <w:szCs w:val="22"/>
        </w:rPr>
      </w:pPr>
      <w:r w:rsidRPr="00E91C37">
        <w:rPr>
          <w:rFonts w:ascii="Arial" w:hAnsi="Arial" w:cs="Arial"/>
          <w:sz w:val="22"/>
          <w:szCs w:val="22"/>
        </w:rPr>
        <w:t>Por otra parte, el rubro de Energía Eléctrica es el más representativo del total de los Servicios Públicos, el cual representa un 92%, según se detalla a continuación:</w:t>
      </w:r>
    </w:p>
    <w:p w14:paraId="6384070C" w14:textId="77777777" w:rsidR="00E91C37" w:rsidRPr="00E25DD7" w:rsidRDefault="00E91C37" w:rsidP="00E25DD7">
      <w:pPr>
        <w:pStyle w:val="WW-Predeterminado"/>
        <w:spacing w:line="102" w:lineRule="atLeast"/>
        <w:jc w:val="both"/>
        <w:rPr>
          <w:rFonts w:ascii="Arial" w:hAnsi="Arial" w:cs="Arial"/>
          <w:color w:val="0000FF"/>
          <w:sz w:val="22"/>
          <w:szCs w:val="22"/>
        </w:rPr>
      </w:pPr>
    </w:p>
    <w:p w14:paraId="5B0F3A90" w14:textId="77777777" w:rsidR="00E91C37" w:rsidRPr="00E91C37" w:rsidRDefault="00E91C37" w:rsidP="00E91C37">
      <w:pPr>
        <w:rPr>
          <w:rFonts w:ascii="Arial" w:hAnsi="Arial" w:cs="Arial"/>
        </w:rPr>
      </w:pPr>
      <w:r w:rsidRPr="00E91C37">
        <w:rPr>
          <w:rFonts w:ascii="Arial" w:hAnsi="Arial" w:cs="Arial"/>
          <w:noProof/>
          <w:lang w:eastAsia="es-CR"/>
        </w:rPr>
        <w:drawing>
          <wp:inline distT="0" distB="0" distL="0" distR="0" wp14:anchorId="723B207C" wp14:editId="615A3061">
            <wp:extent cx="5775960" cy="716280"/>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5960" cy="716280"/>
                    </a:xfrm>
                    <a:prstGeom prst="rect">
                      <a:avLst/>
                    </a:prstGeom>
                    <a:noFill/>
                    <a:ln>
                      <a:noFill/>
                    </a:ln>
                  </pic:spPr>
                </pic:pic>
              </a:graphicData>
            </a:graphic>
          </wp:inline>
        </w:drawing>
      </w:r>
    </w:p>
    <w:p w14:paraId="72469308" w14:textId="77777777" w:rsidR="00D215AE" w:rsidRPr="00E91C37" w:rsidRDefault="00D215AE" w:rsidP="00D215AE">
      <w:pPr>
        <w:jc w:val="center"/>
        <w:rPr>
          <w:rFonts w:ascii="Arial" w:hAnsi="Arial" w:cs="Arial"/>
        </w:rPr>
      </w:pPr>
    </w:p>
    <w:p w14:paraId="18838941" w14:textId="77777777" w:rsidR="00D215AE" w:rsidRPr="005931AA" w:rsidRDefault="00D215AE" w:rsidP="00D215AE">
      <w:pPr>
        <w:autoSpaceDE w:val="0"/>
        <w:spacing w:line="102" w:lineRule="atLeast"/>
        <w:rPr>
          <w:rFonts w:ascii="Arial" w:hAnsi="Arial" w:cs="Arial"/>
        </w:rPr>
      </w:pPr>
      <w:r w:rsidRPr="005931AA">
        <w:rPr>
          <w:rFonts w:ascii="Arial" w:hAnsi="Arial" w:cs="Arial"/>
          <w:color w:val="0000FF"/>
        </w:rPr>
        <w:t xml:space="preserve">                                                                          </w:t>
      </w:r>
    </w:p>
    <w:p w14:paraId="09353318" w14:textId="77777777" w:rsidR="00D215AE" w:rsidRDefault="00D215AE" w:rsidP="00D215AE">
      <w:pPr>
        <w:rPr>
          <w:rFonts w:eastAsia="SimSun" w:cs="Mangal"/>
          <w:sz w:val="24"/>
          <w:szCs w:val="24"/>
          <w:lang w:val="es-ES" w:eastAsia="hi-IN" w:bidi="hi-IN"/>
        </w:rPr>
      </w:pPr>
    </w:p>
    <w:p w14:paraId="58F5E733" w14:textId="77777777" w:rsidR="00FB38C9" w:rsidRDefault="00FB38C9" w:rsidP="00D215AE">
      <w:pPr>
        <w:rPr>
          <w:rFonts w:eastAsia="SimSun" w:cs="Mangal"/>
          <w:sz w:val="24"/>
          <w:szCs w:val="24"/>
          <w:lang w:val="es-ES" w:eastAsia="hi-IN" w:bidi="hi-IN"/>
        </w:rPr>
      </w:pPr>
    </w:p>
    <w:p w14:paraId="6CB3744E" w14:textId="77777777" w:rsidR="00BA3B81" w:rsidRDefault="00BA3B81" w:rsidP="00BA3B81">
      <w:pPr>
        <w:jc w:val="right"/>
        <w:rPr>
          <w:rFonts w:eastAsia="SimSun" w:cs="Mangal"/>
          <w:sz w:val="24"/>
          <w:szCs w:val="24"/>
          <w:lang w:val="es-ES" w:eastAsia="hi-IN" w:bidi="hi-IN"/>
        </w:rPr>
      </w:pPr>
      <w:r>
        <w:rPr>
          <w:rFonts w:eastAsia="SimSun" w:cs="Mangal"/>
          <w:sz w:val="24"/>
          <w:szCs w:val="24"/>
          <w:lang w:val="es-ES" w:eastAsia="hi-IN" w:bidi="hi-IN"/>
        </w:rPr>
        <w:t>23</w:t>
      </w:r>
    </w:p>
    <w:p w14:paraId="3B81B9F0" w14:textId="77777777" w:rsidR="00996963" w:rsidRDefault="00996963" w:rsidP="00996963">
      <w:pPr>
        <w:pStyle w:val="Textbody"/>
        <w:rPr>
          <w:rFonts w:asciiTheme="minorHAnsi" w:eastAsia="SimSun" w:hAnsiTheme="minorHAnsi" w:cs="Mangal"/>
          <w:kern w:val="0"/>
          <w:szCs w:val="24"/>
          <w:lang w:eastAsia="hi-IN" w:bidi="hi-IN"/>
        </w:rPr>
      </w:pPr>
    </w:p>
    <w:p w14:paraId="7AC711B6" w14:textId="77777777" w:rsidR="00EB1ACE" w:rsidRDefault="00EB1ACE" w:rsidP="00996963">
      <w:pPr>
        <w:pStyle w:val="Textbody"/>
        <w:rPr>
          <w:rFonts w:asciiTheme="minorHAnsi" w:eastAsia="SimSun" w:hAnsiTheme="minorHAnsi" w:cs="Mangal"/>
          <w:kern w:val="0"/>
          <w:szCs w:val="24"/>
          <w:lang w:eastAsia="hi-IN" w:bidi="hi-IN"/>
        </w:rPr>
      </w:pPr>
    </w:p>
    <w:p w14:paraId="41FF780A" w14:textId="77777777" w:rsidR="00996963" w:rsidRPr="00DB5391" w:rsidRDefault="00996963" w:rsidP="00996963">
      <w:pPr>
        <w:pStyle w:val="Textbody"/>
        <w:jc w:val="center"/>
        <w:rPr>
          <w:rFonts w:ascii="Arial" w:hAnsi="Arial" w:cs="Arial"/>
          <w:b/>
          <w:sz w:val="22"/>
          <w:szCs w:val="22"/>
        </w:rPr>
      </w:pPr>
      <w:r w:rsidRPr="00DB5391">
        <w:rPr>
          <w:rFonts w:ascii="Arial" w:hAnsi="Arial" w:cs="Arial"/>
          <w:b/>
          <w:sz w:val="22"/>
          <w:szCs w:val="22"/>
        </w:rPr>
        <w:t>ESTA</w:t>
      </w:r>
      <w:r w:rsidR="00E25DD7" w:rsidRPr="00DB5391">
        <w:rPr>
          <w:rFonts w:ascii="Arial" w:hAnsi="Arial" w:cs="Arial"/>
          <w:b/>
          <w:sz w:val="22"/>
          <w:szCs w:val="22"/>
        </w:rPr>
        <w:t>DO DE RESULTADOS DE COSTOS AL 31 DE DIC</w:t>
      </w:r>
      <w:r w:rsidRPr="00DB5391">
        <w:rPr>
          <w:rFonts w:ascii="Arial" w:hAnsi="Arial" w:cs="Arial"/>
          <w:b/>
          <w:sz w:val="22"/>
          <w:szCs w:val="22"/>
        </w:rPr>
        <w:t>IEMBRE 2017-2018</w:t>
      </w:r>
    </w:p>
    <w:p w14:paraId="00ACFA78" w14:textId="77777777" w:rsidR="00996963" w:rsidRPr="00DB5391" w:rsidRDefault="00996963" w:rsidP="00996963">
      <w:pPr>
        <w:pStyle w:val="Textbody"/>
        <w:rPr>
          <w:rFonts w:ascii="Arial" w:hAnsi="Arial" w:cs="Arial"/>
          <w:b/>
          <w:sz w:val="22"/>
          <w:szCs w:val="22"/>
        </w:rPr>
      </w:pPr>
    </w:p>
    <w:p w14:paraId="0711711D" w14:textId="77777777" w:rsidR="00EB1ACE" w:rsidRDefault="00EB1ACE" w:rsidP="00996963">
      <w:pPr>
        <w:pStyle w:val="Textbody"/>
        <w:rPr>
          <w:rFonts w:ascii="Arial" w:hAnsi="Arial" w:cs="Arial"/>
          <w:b/>
          <w:sz w:val="22"/>
          <w:szCs w:val="22"/>
        </w:rPr>
      </w:pPr>
    </w:p>
    <w:p w14:paraId="432D1CC2" w14:textId="77777777" w:rsidR="00996963" w:rsidRPr="00DB5391" w:rsidRDefault="00996963" w:rsidP="00996963">
      <w:pPr>
        <w:pStyle w:val="Textbody"/>
        <w:rPr>
          <w:rFonts w:ascii="Arial" w:hAnsi="Arial" w:cs="Arial"/>
          <w:b/>
          <w:sz w:val="22"/>
          <w:szCs w:val="22"/>
        </w:rPr>
      </w:pPr>
      <w:r w:rsidRPr="00DB5391">
        <w:rPr>
          <w:rFonts w:ascii="Arial" w:hAnsi="Arial" w:cs="Arial"/>
          <w:b/>
          <w:sz w:val="22"/>
          <w:szCs w:val="22"/>
        </w:rPr>
        <w:t>Subgerencia Gestión Sistemas Comunales</w:t>
      </w:r>
    </w:p>
    <w:p w14:paraId="34B51ECC" w14:textId="77777777" w:rsidR="00C64C62" w:rsidRDefault="00C64C62" w:rsidP="00996963">
      <w:pPr>
        <w:pStyle w:val="Textbody"/>
        <w:rPr>
          <w:rFonts w:ascii="Arial" w:hAnsi="Arial" w:cs="Arial"/>
          <w:b/>
        </w:rPr>
      </w:pPr>
    </w:p>
    <w:p w14:paraId="236B51E0" w14:textId="77777777" w:rsidR="00996963" w:rsidRDefault="002E7D5F" w:rsidP="00996963">
      <w:pPr>
        <w:pStyle w:val="Textbody"/>
      </w:pPr>
      <w:r w:rsidRPr="002E7D5F">
        <w:rPr>
          <w:noProof/>
          <w:lang w:val="es-CR" w:eastAsia="es-CR"/>
        </w:rPr>
        <w:drawing>
          <wp:anchor distT="0" distB="0" distL="114300" distR="114300" simplePos="0" relativeHeight="251822080" behindDoc="0" locked="0" layoutInCell="1" allowOverlap="1" wp14:anchorId="5BFED27A" wp14:editId="59DD78F9">
            <wp:simplePos x="0" y="0"/>
            <wp:positionH relativeFrom="column">
              <wp:posOffset>1905</wp:posOffset>
            </wp:positionH>
            <wp:positionV relativeFrom="paragraph">
              <wp:posOffset>-3175</wp:posOffset>
            </wp:positionV>
            <wp:extent cx="5612130" cy="1943400"/>
            <wp:effectExtent l="0" t="0" r="762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130" cy="1943400"/>
                    </a:xfrm>
                    <a:prstGeom prst="rect">
                      <a:avLst/>
                    </a:prstGeom>
                    <a:noFill/>
                    <a:ln>
                      <a:noFill/>
                    </a:ln>
                  </pic:spPr>
                </pic:pic>
              </a:graphicData>
            </a:graphic>
          </wp:anchor>
        </w:drawing>
      </w:r>
    </w:p>
    <w:p w14:paraId="6730C914" w14:textId="77777777" w:rsidR="00996963" w:rsidRDefault="00996963" w:rsidP="00996963">
      <w:pPr>
        <w:pStyle w:val="NormalWeb"/>
        <w:spacing w:before="0"/>
      </w:pPr>
      <w:r>
        <w:rPr>
          <w:rFonts w:ascii="Arial" w:hAnsi="Arial" w:cs="Arial"/>
          <w:sz w:val="22"/>
          <w:szCs w:val="22"/>
        </w:rPr>
        <w:t>De acuerdo con lo expuesto anteriormente, en relación con la conversión de los Estados Financieros a Normas Internacionales, el Estado de Resultad</w:t>
      </w:r>
      <w:r w:rsidR="00704768">
        <w:rPr>
          <w:rFonts w:ascii="Arial" w:hAnsi="Arial" w:cs="Arial"/>
          <w:sz w:val="22"/>
          <w:szCs w:val="22"/>
        </w:rPr>
        <w:t>o de la Contabilidad Financiera</w:t>
      </w:r>
      <w:r>
        <w:rPr>
          <w:rFonts w:ascii="Arial" w:hAnsi="Arial" w:cs="Arial"/>
          <w:sz w:val="22"/>
          <w:szCs w:val="22"/>
        </w:rPr>
        <w:t xml:space="preserve"> incluye la sección denominada “</w:t>
      </w:r>
      <w:r>
        <w:rPr>
          <w:rFonts w:ascii="Arial" w:hAnsi="Arial" w:cs="Arial"/>
          <w:b/>
          <w:sz w:val="22"/>
          <w:szCs w:val="22"/>
        </w:rPr>
        <w:t xml:space="preserve">TRANSFERENCIAS NO REEMBOLSABLES A PROGRAMAS INVERSIÓN”, </w:t>
      </w:r>
      <w:r>
        <w:rPr>
          <w:rFonts w:ascii="Arial" w:hAnsi="Arial" w:cs="Arial"/>
          <w:sz w:val="22"/>
          <w:szCs w:val="22"/>
        </w:rPr>
        <w:t>esta se ubica después de la Utilidad Neta de Operación por cuanto no forma parte de la operación normal de las actividades sustantivas.</w:t>
      </w:r>
    </w:p>
    <w:p w14:paraId="559EE1C6" w14:textId="77777777" w:rsidR="00996963" w:rsidRDefault="00996963" w:rsidP="00996963">
      <w:pPr>
        <w:pStyle w:val="NormalWeb"/>
        <w:spacing w:before="0"/>
        <w:rPr>
          <w:rFonts w:ascii="Arial" w:hAnsi="Arial" w:cs="Arial"/>
          <w:b/>
          <w:sz w:val="22"/>
          <w:szCs w:val="22"/>
        </w:rPr>
      </w:pPr>
    </w:p>
    <w:p w14:paraId="4B485D25" w14:textId="77777777" w:rsidR="00996963" w:rsidRDefault="00996963" w:rsidP="00996963">
      <w:pPr>
        <w:pStyle w:val="Standard"/>
        <w:suppressAutoHyphens w:val="0"/>
        <w:jc w:val="both"/>
        <w:rPr>
          <w:rFonts w:ascii="Arial" w:hAnsi="Arial" w:cs="Arial"/>
          <w:sz w:val="22"/>
          <w:szCs w:val="22"/>
        </w:rPr>
      </w:pPr>
      <w:r>
        <w:rPr>
          <w:rFonts w:ascii="Arial" w:hAnsi="Arial" w:cs="Arial"/>
          <w:sz w:val="22"/>
          <w:szCs w:val="22"/>
        </w:rPr>
        <w:t>Esta cuenta contabiliza los aportes por concepto de contrapartida y otros, que realiza AyA a los programas de Asignaciones Familiares y KFW II, los cuales construyen proyectos que serán delegados a terceros para su administración, afectando la cuenta 54993000 denominada igualmente “Transferencias no Reembolsables para programas de inversión”.</w:t>
      </w:r>
    </w:p>
    <w:p w14:paraId="322A23B7" w14:textId="77777777" w:rsidR="00704768" w:rsidRDefault="00704768" w:rsidP="00996963">
      <w:pPr>
        <w:pStyle w:val="Standard"/>
        <w:suppressAutoHyphens w:val="0"/>
        <w:jc w:val="both"/>
        <w:rPr>
          <w:rFonts w:ascii="Arial" w:hAnsi="Arial" w:cs="Arial"/>
          <w:sz w:val="22"/>
          <w:szCs w:val="22"/>
        </w:rPr>
      </w:pPr>
    </w:p>
    <w:p w14:paraId="15A90411" w14:textId="77777777" w:rsidR="00996963" w:rsidRDefault="00996963" w:rsidP="00996963">
      <w:pPr>
        <w:pStyle w:val="Standard"/>
        <w:suppressAutoHyphens w:val="0"/>
        <w:jc w:val="both"/>
        <w:rPr>
          <w:rFonts w:ascii="Arial" w:hAnsi="Arial" w:cs="Arial"/>
          <w:sz w:val="22"/>
          <w:szCs w:val="22"/>
        </w:rPr>
      </w:pPr>
      <w:r>
        <w:rPr>
          <w:rFonts w:ascii="Arial" w:hAnsi="Arial" w:cs="Arial"/>
          <w:sz w:val="22"/>
          <w:szCs w:val="22"/>
        </w:rPr>
        <w:t>Adicionalmente en esta sección del Estado de Resultados, atendiendo a la misma normativa, se incluyen los desembolsos del préstamo KFW II.</w:t>
      </w:r>
    </w:p>
    <w:p w14:paraId="100DB8D3" w14:textId="77777777" w:rsidR="00704768" w:rsidRDefault="00704768" w:rsidP="00996963">
      <w:pPr>
        <w:pStyle w:val="Standard"/>
        <w:suppressAutoHyphens w:val="0"/>
        <w:jc w:val="both"/>
        <w:rPr>
          <w:rFonts w:ascii="Arial" w:hAnsi="Arial" w:cs="Arial"/>
          <w:sz w:val="22"/>
          <w:szCs w:val="22"/>
        </w:rPr>
      </w:pPr>
    </w:p>
    <w:p w14:paraId="7978366A" w14:textId="77777777" w:rsidR="00996963" w:rsidRDefault="00996963" w:rsidP="00996963">
      <w:pPr>
        <w:pStyle w:val="Standard"/>
        <w:suppressAutoHyphens w:val="0"/>
        <w:jc w:val="both"/>
        <w:rPr>
          <w:rFonts w:ascii="Arial" w:hAnsi="Arial" w:cs="Arial"/>
          <w:sz w:val="22"/>
          <w:szCs w:val="22"/>
        </w:rPr>
      </w:pPr>
      <w:r>
        <w:rPr>
          <w:rFonts w:ascii="Arial" w:hAnsi="Arial" w:cs="Arial"/>
          <w:sz w:val="22"/>
          <w:szCs w:val="22"/>
        </w:rPr>
        <w:t>Dado que estas obras no pueden ser capitalizadas en el balance de AyA, por cuanto no reúnen las condiciones de activos, los aportes se tratan como gastos en el Estado de Resultados de AyA, acorde con el párrafo 97 del Marco Conceptual de las NIIF.</w:t>
      </w:r>
    </w:p>
    <w:p w14:paraId="13CC7074" w14:textId="77777777" w:rsidR="00996963" w:rsidRDefault="00996963" w:rsidP="00996963">
      <w:pPr>
        <w:pStyle w:val="Standard"/>
        <w:tabs>
          <w:tab w:val="left" w:pos="720"/>
        </w:tabs>
        <w:suppressAutoHyphens w:val="0"/>
        <w:jc w:val="both"/>
        <w:rPr>
          <w:rFonts w:ascii="Arial" w:hAnsi="Arial"/>
          <w:sz w:val="22"/>
          <w:szCs w:val="22"/>
          <w:lang w:val="es-CR" w:eastAsia="ar-SA"/>
        </w:rPr>
      </w:pPr>
    </w:p>
    <w:p w14:paraId="2502D401" w14:textId="77777777" w:rsidR="00996963" w:rsidRDefault="00996963" w:rsidP="00996963">
      <w:pPr>
        <w:pStyle w:val="Standard"/>
        <w:tabs>
          <w:tab w:val="left" w:pos="720"/>
        </w:tabs>
        <w:suppressAutoHyphens w:val="0"/>
        <w:jc w:val="both"/>
      </w:pPr>
      <w:r>
        <w:rPr>
          <w:rFonts w:ascii="Arial" w:hAnsi="Arial"/>
          <w:sz w:val="22"/>
          <w:szCs w:val="22"/>
          <w:lang w:val="es-CR" w:eastAsia="ar-SA"/>
        </w:rPr>
        <w:t xml:space="preserve">La Sección </w:t>
      </w:r>
      <w:r>
        <w:rPr>
          <w:rFonts w:ascii="Arial" w:hAnsi="Arial"/>
          <w:b/>
          <w:bCs/>
          <w:sz w:val="22"/>
          <w:szCs w:val="22"/>
          <w:lang w:val="es-CR" w:eastAsia="ar-SA"/>
        </w:rPr>
        <w:t>Transferencias no Reembolsables a programas de inversión</w:t>
      </w:r>
      <w:r>
        <w:rPr>
          <w:rFonts w:ascii="Arial" w:hAnsi="Arial"/>
          <w:sz w:val="22"/>
          <w:szCs w:val="22"/>
          <w:lang w:val="es-CR" w:eastAsia="ar-SA"/>
        </w:rPr>
        <w:t>, sustentados en lo que señalan los párrafos 4.52 y 4.53 del Marco Conceptual de las NIIF, corresponde a la contribución institucional como parte de la Responsabil</w:t>
      </w:r>
      <w:r w:rsidR="002E7D5F">
        <w:rPr>
          <w:rFonts w:ascii="Arial" w:hAnsi="Arial"/>
          <w:sz w:val="22"/>
          <w:szCs w:val="22"/>
          <w:lang w:val="es-CR" w:eastAsia="ar-SA"/>
        </w:rPr>
        <w:t>idad Social Empresarial. Al 31 de diciembre 2018 asciende a ¢4.227 millones, o sea ¢1.541</w:t>
      </w:r>
      <w:r w:rsidR="00704768">
        <w:rPr>
          <w:rFonts w:ascii="Arial" w:hAnsi="Arial"/>
          <w:sz w:val="22"/>
          <w:szCs w:val="22"/>
          <w:lang w:val="es-CR" w:eastAsia="ar-SA"/>
        </w:rPr>
        <w:t xml:space="preserve"> millones más</w:t>
      </w:r>
      <w:r>
        <w:rPr>
          <w:rFonts w:ascii="Arial" w:hAnsi="Arial"/>
          <w:sz w:val="22"/>
          <w:szCs w:val="22"/>
          <w:lang w:val="es-CR" w:eastAsia="ar-SA"/>
        </w:rPr>
        <w:t xml:space="preserve"> que e</w:t>
      </w:r>
      <w:r w:rsidR="00704768">
        <w:rPr>
          <w:rFonts w:ascii="Arial" w:hAnsi="Arial"/>
          <w:sz w:val="22"/>
          <w:szCs w:val="22"/>
          <w:lang w:val="es-CR" w:eastAsia="ar-SA"/>
        </w:rPr>
        <w:t xml:space="preserve">l </w:t>
      </w:r>
      <w:r w:rsidR="002E7D5F">
        <w:rPr>
          <w:rFonts w:ascii="Arial" w:hAnsi="Arial"/>
          <w:sz w:val="22"/>
          <w:szCs w:val="22"/>
          <w:lang w:val="es-CR" w:eastAsia="ar-SA"/>
        </w:rPr>
        <w:t>costo del 2017 que fue de ¢2.686</w:t>
      </w:r>
      <w:r>
        <w:rPr>
          <w:rFonts w:ascii="Arial" w:hAnsi="Arial"/>
          <w:sz w:val="22"/>
          <w:szCs w:val="22"/>
          <w:lang w:val="es-CR" w:eastAsia="ar-SA"/>
        </w:rPr>
        <w:t xml:space="preserve"> millones.</w:t>
      </w:r>
    </w:p>
    <w:p w14:paraId="788BF73D" w14:textId="77777777" w:rsidR="00996963" w:rsidRDefault="00996963" w:rsidP="00996963">
      <w:pPr>
        <w:pStyle w:val="Textbody"/>
        <w:rPr>
          <w:rFonts w:ascii="Arial" w:hAnsi="Arial" w:cs="Arial"/>
          <w:b/>
        </w:rPr>
      </w:pPr>
    </w:p>
    <w:p w14:paraId="2C98C6F0" w14:textId="77777777" w:rsidR="00996963" w:rsidRPr="00BA3B81" w:rsidRDefault="00BA3B81" w:rsidP="00BA3B81">
      <w:pPr>
        <w:pStyle w:val="Textbody"/>
        <w:jc w:val="right"/>
        <w:rPr>
          <w:rFonts w:ascii="Arial" w:hAnsi="Arial" w:cs="Arial"/>
          <w:sz w:val="22"/>
          <w:szCs w:val="22"/>
        </w:rPr>
      </w:pPr>
      <w:r w:rsidRPr="00BA3B81">
        <w:rPr>
          <w:rFonts w:ascii="Arial" w:hAnsi="Arial" w:cs="Arial"/>
          <w:sz w:val="22"/>
          <w:szCs w:val="22"/>
        </w:rPr>
        <w:t>24</w:t>
      </w:r>
    </w:p>
    <w:p w14:paraId="7C14AEB0" w14:textId="77777777" w:rsidR="00996963" w:rsidRPr="004B4F18" w:rsidRDefault="00996963" w:rsidP="00996963">
      <w:pPr>
        <w:pStyle w:val="Textbody"/>
        <w:rPr>
          <w:rFonts w:ascii="Arial" w:hAnsi="Arial" w:cs="Arial"/>
          <w:b/>
          <w:sz w:val="22"/>
          <w:szCs w:val="22"/>
        </w:rPr>
      </w:pPr>
      <w:r w:rsidRPr="004B4F18">
        <w:rPr>
          <w:rFonts w:ascii="Arial" w:hAnsi="Arial" w:cs="Arial"/>
          <w:b/>
          <w:sz w:val="22"/>
          <w:szCs w:val="22"/>
        </w:rPr>
        <w:lastRenderedPageBreak/>
        <w:t>Subgerencia Técnica Gran Área Metropolitana</w:t>
      </w:r>
    </w:p>
    <w:p w14:paraId="407E9D68" w14:textId="77777777" w:rsidR="00996963" w:rsidRDefault="00996963" w:rsidP="00996963">
      <w:pPr>
        <w:pStyle w:val="Textbody"/>
        <w:rPr>
          <w:noProof/>
          <w:lang w:val="es-CR" w:eastAsia="es-CR"/>
        </w:rPr>
      </w:pPr>
    </w:p>
    <w:p w14:paraId="54698834" w14:textId="77777777" w:rsidR="008D6874" w:rsidRDefault="00E77796" w:rsidP="00996963">
      <w:pPr>
        <w:pStyle w:val="Textbody"/>
      </w:pPr>
      <w:r w:rsidRPr="004B4F18">
        <w:rPr>
          <w:noProof/>
          <w:lang w:val="es-CR" w:eastAsia="es-CR"/>
        </w:rPr>
        <w:drawing>
          <wp:anchor distT="0" distB="0" distL="114300" distR="114300" simplePos="0" relativeHeight="251842560" behindDoc="0" locked="0" layoutInCell="1" allowOverlap="1" wp14:anchorId="2076BC74" wp14:editId="0628795F">
            <wp:simplePos x="0" y="0"/>
            <wp:positionH relativeFrom="margin">
              <wp:posOffset>131445</wp:posOffset>
            </wp:positionH>
            <wp:positionV relativeFrom="paragraph">
              <wp:posOffset>14605</wp:posOffset>
            </wp:positionV>
            <wp:extent cx="4922520" cy="307086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22520" cy="3070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9B2288" w14:textId="77777777" w:rsidR="00996963" w:rsidRPr="004B4F18" w:rsidRDefault="004B4F18" w:rsidP="00996963">
      <w:pPr>
        <w:pStyle w:val="Textoindependiente21"/>
        <w:spacing w:before="100"/>
      </w:pPr>
      <w:r>
        <w:rPr>
          <w:color w:val="FF0000"/>
          <w:sz w:val="22"/>
          <w:szCs w:val="22"/>
        </w:rPr>
        <w:t xml:space="preserve"> </w:t>
      </w:r>
      <w:r w:rsidR="00EB1ACE">
        <w:rPr>
          <w:rFonts w:ascii="Arial" w:hAnsi="Arial" w:cs="Arial"/>
          <w:b/>
          <w:sz w:val="22"/>
          <w:szCs w:val="22"/>
        </w:rPr>
        <w:t>Gráfico 13</w:t>
      </w:r>
    </w:p>
    <w:p w14:paraId="2D88ADF9" w14:textId="77777777" w:rsidR="00996963" w:rsidRDefault="004B4F18" w:rsidP="00996963">
      <w:pPr>
        <w:pStyle w:val="Textbody"/>
        <w:tabs>
          <w:tab w:val="left" w:pos="720"/>
        </w:tabs>
        <w:spacing w:line="200" w:lineRule="atLeast"/>
      </w:pPr>
      <w:r w:rsidRPr="004B4F18">
        <w:rPr>
          <w:noProof/>
          <w:lang w:val="es-CR" w:eastAsia="es-CR"/>
        </w:rPr>
        <w:drawing>
          <wp:anchor distT="0" distB="0" distL="114300" distR="114300" simplePos="0" relativeHeight="251843584" behindDoc="0" locked="0" layoutInCell="1" allowOverlap="1" wp14:anchorId="59C4F313" wp14:editId="73ADF744">
            <wp:simplePos x="0" y="0"/>
            <wp:positionH relativeFrom="margin">
              <wp:posOffset>-112395</wp:posOffset>
            </wp:positionH>
            <wp:positionV relativeFrom="paragraph">
              <wp:posOffset>152400</wp:posOffset>
            </wp:positionV>
            <wp:extent cx="3070860" cy="2146300"/>
            <wp:effectExtent l="0" t="0" r="0" b="635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70860" cy="2146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86F8F4" w14:textId="77777777" w:rsidR="004B4F18" w:rsidRPr="004B4F18" w:rsidRDefault="004B4F18" w:rsidP="004B4F18">
      <w:pPr>
        <w:pStyle w:val="Standard"/>
        <w:tabs>
          <w:tab w:val="left" w:pos="735"/>
        </w:tabs>
        <w:jc w:val="both"/>
        <w:rPr>
          <w:rFonts w:ascii="Arial" w:hAnsi="Arial" w:cs="Arial"/>
          <w:sz w:val="22"/>
          <w:szCs w:val="22"/>
          <w:lang w:val="es-CR"/>
        </w:rPr>
      </w:pPr>
      <w:r w:rsidRPr="004B4F18">
        <w:rPr>
          <w:rFonts w:ascii="Arial" w:hAnsi="Arial" w:cs="Arial"/>
          <w:sz w:val="22"/>
          <w:szCs w:val="22"/>
          <w:lang w:val="es-CR"/>
        </w:rPr>
        <w:t>Al 31 de diciembre del 2017 se registran ingresos por facturación por ¢84.753 millones y pasan a ¢93.064 millones en el mismo período del 2018, registrándose un crecimiento de un 10% (¢8.311 millones), producto del aumento en las tarifas, mencionado al inicio de este informe.</w:t>
      </w:r>
      <w:r w:rsidR="00E77796">
        <w:rPr>
          <w:rFonts w:ascii="Arial" w:hAnsi="Arial" w:cs="Arial"/>
          <w:sz w:val="22"/>
          <w:szCs w:val="22"/>
          <w:lang w:val="es-CR"/>
        </w:rPr>
        <w:t xml:space="preserve"> </w:t>
      </w:r>
      <w:r w:rsidR="00E77796" w:rsidRPr="00E77796">
        <w:rPr>
          <w:rFonts w:ascii="Arial" w:hAnsi="Arial" w:cs="Arial"/>
          <w:sz w:val="22"/>
          <w:szCs w:val="22"/>
          <w:lang w:val="es-CR"/>
        </w:rPr>
        <w:t>Por otra parte, los ingresos financieros y otr</w:t>
      </w:r>
      <w:r w:rsidR="00E77796">
        <w:rPr>
          <w:rFonts w:ascii="Arial" w:hAnsi="Arial" w:cs="Arial"/>
          <w:sz w:val="22"/>
          <w:szCs w:val="22"/>
          <w:lang w:val="es-CR"/>
        </w:rPr>
        <w:t>os conceptos se incrementan ¢1.235</w:t>
      </w:r>
      <w:r w:rsidR="00E77796" w:rsidRPr="00E77796">
        <w:rPr>
          <w:rFonts w:ascii="Arial" w:hAnsi="Arial" w:cs="Arial"/>
          <w:sz w:val="22"/>
          <w:szCs w:val="22"/>
          <w:lang w:val="es-CR"/>
        </w:rPr>
        <w:t xml:space="preserve"> millones ocasionado por la implementación de la nueva Política Contable para el registro de las donaciones que establece que las donaciones se deben diferir en el período de la vida útil de los activos recibidos, por tanto, se contabilizan originalmente</w:t>
      </w:r>
      <w:r w:rsidR="00E77796" w:rsidRPr="00FD2F83">
        <w:rPr>
          <w:rFonts w:ascii="Arial" w:hAnsi="Arial" w:cs="Arial"/>
          <w:color w:val="FF0000"/>
        </w:rPr>
        <w:t xml:space="preserve"> </w:t>
      </w:r>
      <w:r w:rsidR="00E77796" w:rsidRPr="00E77796">
        <w:rPr>
          <w:rFonts w:ascii="Arial" w:hAnsi="Arial" w:cs="Arial"/>
          <w:sz w:val="22"/>
          <w:szCs w:val="22"/>
          <w:lang w:val="es-CR"/>
        </w:rPr>
        <w:t>como un pasivo diferido y se amortizan conforme se realizan</w:t>
      </w:r>
      <w:r w:rsidR="00E77796">
        <w:rPr>
          <w:rFonts w:ascii="Arial" w:hAnsi="Arial" w:cs="Arial"/>
          <w:sz w:val="22"/>
          <w:szCs w:val="22"/>
          <w:lang w:val="es-CR"/>
        </w:rPr>
        <w:t>.</w:t>
      </w:r>
    </w:p>
    <w:p w14:paraId="28099E21" w14:textId="77777777" w:rsidR="004B4F18" w:rsidRPr="004B4F18" w:rsidRDefault="004B4F18" w:rsidP="004B4F18">
      <w:pPr>
        <w:pStyle w:val="Standard"/>
        <w:tabs>
          <w:tab w:val="left" w:pos="735"/>
        </w:tabs>
        <w:jc w:val="both"/>
        <w:rPr>
          <w:rFonts w:ascii="Arial" w:hAnsi="Arial" w:cs="Arial"/>
          <w:sz w:val="22"/>
          <w:szCs w:val="22"/>
          <w:lang w:val="es-CR"/>
        </w:rPr>
      </w:pPr>
    </w:p>
    <w:p w14:paraId="14042AA3" w14:textId="77777777" w:rsidR="004B4F18" w:rsidRDefault="004B4F18" w:rsidP="004B4F18">
      <w:pPr>
        <w:pStyle w:val="Standard"/>
        <w:tabs>
          <w:tab w:val="left" w:pos="735"/>
        </w:tabs>
        <w:jc w:val="both"/>
        <w:rPr>
          <w:rFonts w:ascii="Arial" w:hAnsi="Arial" w:cs="Arial"/>
          <w:sz w:val="22"/>
          <w:szCs w:val="22"/>
          <w:lang w:val="es-CR"/>
        </w:rPr>
      </w:pPr>
      <w:r w:rsidRPr="004B4F18">
        <w:rPr>
          <w:rFonts w:ascii="Arial" w:hAnsi="Arial" w:cs="Arial"/>
          <w:sz w:val="22"/>
          <w:szCs w:val="22"/>
          <w:lang w:val="es-CR"/>
        </w:rPr>
        <w:t>Entre los dos períodos analizados se presenta una Utilidad Bruta de Operación que crece ¢4.342 millones (29%) para el 2018; asociado al incremento tarifario que se está facturando desde octubre 2017; por otra parte, los costos indirectos y financieros que recibe esta subgerencia desde la sede crecen en ¢2.738 millones con respecto al 31 de diciembre del 2017. Los movimientos más representativos de esta sección son:</w:t>
      </w:r>
    </w:p>
    <w:p w14:paraId="7EE47019" w14:textId="77777777" w:rsidR="00EB1ACE" w:rsidRPr="004B4F18" w:rsidRDefault="00EB1ACE" w:rsidP="004B4F18">
      <w:pPr>
        <w:pStyle w:val="Standard"/>
        <w:tabs>
          <w:tab w:val="left" w:pos="735"/>
        </w:tabs>
        <w:jc w:val="both"/>
        <w:rPr>
          <w:rFonts w:ascii="Arial" w:hAnsi="Arial" w:cs="Arial"/>
          <w:sz w:val="22"/>
          <w:szCs w:val="22"/>
          <w:lang w:val="es-CR"/>
        </w:rPr>
      </w:pPr>
    </w:p>
    <w:p w14:paraId="1CAD7AD3" w14:textId="77777777" w:rsidR="004B4F18" w:rsidRPr="004B4F18" w:rsidRDefault="00BA3B81" w:rsidP="00BA3B81">
      <w:pPr>
        <w:pStyle w:val="Standard"/>
        <w:tabs>
          <w:tab w:val="left" w:pos="735"/>
        </w:tabs>
        <w:jc w:val="right"/>
        <w:rPr>
          <w:rFonts w:ascii="Arial" w:hAnsi="Arial" w:cs="Arial"/>
          <w:sz w:val="22"/>
          <w:szCs w:val="22"/>
          <w:lang w:val="es-CR"/>
        </w:rPr>
      </w:pPr>
      <w:r>
        <w:rPr>
          <w:rFonts w:ascii="Arial" w:hAnsi="Arial" w:cs="Arial"/>
          <w:sz w:val="22"/>
          <w:szCs w:val="22"/>
          <w:lang w:val="es-CR"/>
        </w:rPr>
        <w:t>25</w:t>
      </w:r>
    </w:p>
    <w:p w14:paraId="464DC15A" w14:textId="77777777" w:rsidR="004B4F18" w:rsidRPr="004B4F18" w:rsidRDefault="004B4F18" w:rsidP="00594CE1">
      <w:pPr>
        <w:pStyle w:val="Standard"/>
        <w:numPr>
          <w:ilvl w:val="0"/>
          <w:numId w:val="41"/>
        </w:numPr>
        <w:tabs>
          <w:tab w:val="left" w:pos="735"/>
        </w:tabs>
        <w:jc w:val="both"/>
        <w:rPr>
          <w:rFonts w:ascii="Arial" w:hAnsi="Arial" w:cs="Arial"/>
          <w:sz w:val="22"/>
          <w:szCs w:val="22"/>
          <w:lang w:val="es-CR"/>
        </w:rPr>
      </w:pPr>
      <w:r w:rsidRPr="004B4F18">
        <w:rPr>
          <w:rFonts w:ascii="Arial" w:hAnsi="Arial" w:cs="Arial"/>
          <w:sz w:val="22"/>
          <w:szCs w:val="22"/>
          <w:lang w:val="es-CR"/>
        </w:rPr>
        <w:lastRenderedPageBreak/>
        <w:t>Costos indirectos distribuidos desde la Sede: que crecen para el 2018 en ¢1.119 millones.</w:t>
      </w:r>
    </w:p>
    <w:p w14:paraId="2FFF6539" w14:textId="77777777" w:rsidR="004B4F18" w:rsidRPr="004B4F18" w:rsidRDefault="004B4F18" w:rsidP="004B4F18">
      <w:pPr>
        <w:pStyle w:val="Standard"/>
        <w:tabs>
          <w:tab w:val="left" w:pos="735"/>
        </w:tabs>
        <w:jc w:val="both"/>
        <w:rPr>
          <w:rFonts w:ascii="Arial" w:hAnsi="Arial" w:cs="Arial"/>
          <w:sz w:val="22"/>
          <w:szCs w:val="22"/>
          <w:lang w:val="es-CR"/>
        </w:rPr>
      </w:pPr>
    </w:p>
    <w:p w14:paraId="73DB1924" w14:textId="77777777" w:rsidR="004B4F18" w:rsidRPr="004B4F18" w:rsidRDefault="004B4F18" w:rsidP="00594CE1">
      <w:pPr>
        <w:pStyle w:val="Standard"/>
        <w:numPr>
          <w:ilvl w:val="0"/>
          <w:numId w:val="41"/>
        </w:numPr>
        <w:tabs>
          <w:tab w:val="left" w:pos="735"/>
        </w:tabs>
        <w:jc w:val="both"/>
        <w:rPr>
          <w:rFonts w:ascii="Arial" w:hAnsi="Arial" w:cs="Arial"/>
          <w:sz w:val="22"/>
          <w:szCs w:val="22"/>
          <w:lang w:val="es-CR"/>
        </w:rPr>
      </w:pPr>
      <w:r w:rsidRPr="004B4F18">
        <w:rPr>
          <w:rFonts w:ascii="Arial" w:hAnsi="Arial" w:cs="Arial"/>
          <w:sz w:val="22"/>
          <w:szCs w:val="22"/>
          <w:lang w:val="es-CR"/>
        </w:rPr>
        <w:t>La depreciación indirecta de activos en el 2017 es por ¢428 millones y pasa a ¢478 millones en el 2018, es decir sube ¢42 millones (10%).</w:t>
      </w:r>
    </w:p>
    <w:p w14:paraId="37606753" w14:textId="77777777" w:rsidR="004B4F18" w:rsidRPr="004B4F18" w:rsidRDefault="004B4F18" w:rsidP="004B4F18">
      <w:pPr>
        <w:pStyle w:val="Standard"/>
        <w:tabs>
          <w:tab w:val="left" w:pos="735"/>
        </w:tabs>
        <w:jc w:val="both"/>
        <w:rPr>
          <w:rFonts w:ascii="Arial" w:hAnsi="Arial" w:cs="Arial"/>
          <w:sz w:val="22"/>
          <w:szCs w:val="22"/>
          <w:lang w:val="es-CR"/>
        </w:rPr>
      </w:pPr>
    </w:p>
    <w:p w14:paraId="0868AEB3" w14:textId="77777777" w:rsidR="004B4F18" w:rsidRPr="004B4F18" w:rsidRDefault="004B4F18" w:rsidP="00594CE1">
      <w:pPr>
        <w:pStyle w:val="Standard"/>
        <w:numPr>
          <w:ilvl w:val="0"/>
          <w:numId w:val="41"/>
        </w:numPr>
        <w:tabs>
          <w:tab w:val="left" w:pos="735"/>
        </w:tabs>
        <w:jc w:val="both"/>
        <w:rPr>
          <w:rFonts w:ascii="Arial" w:hAnsi="Arial" w:cs="Arial"/>
          <w:sz w:val="22"/>
          <w:szCs w:val="22"/>
          <w:lang w:val="es-CR"/>
        </w:rPr>
      </w:pPr>
      <w:r w:rsidRPr="004B4F18">
        <w:rPr>
          <w:rFonts w:ascii="Arial" w:hAnsi="Arial" w:cs="Arial"/>
          <w:sz w:val="22"/>
          <w:szCs w:val="22"/>
          <w:lang w:val="es-CR"/>
        </w:rPr>
        <w:t>Sección Financiera: Los Gastos por Diferencial Cambiario ascienden a ¢1.427 millones en el 2017 y ¢3.003 millones para el 2018, por lo que se registra un aumento de ¢1.576 millones (175%) asociado a la relación del colón con respecto al dólar estadounidense y otras monedas extranjeras.</w:t>
      </w:r>
    </w:p>
    <w:p w14:paraId="3302D0CF" w14:textId="77777777" w:rsidR="004B4F18" w:rsidRPr="004B4F18" w:rsidRDefault="004B4F18" w:rsidP="004B4F18">
      <w:pPr>
        <w:pStyle w:val="Standard"/>
        <w:tabs>
          <w:tab w:val="left" w:pos="735"/>
        </w:tabs>
        <w:jc w:val="both"/>
        <w:rPr>
          <w:rFonts w:ascii="Arial" w:hAnsi="Arial" w:cs="Arial"/>
          <w:sz w:val="22"/>
          <w:szCs w:val="22"/>
          <w:lang w:val="es-CR"/>
        </w:rPr>
      </w:pPr>
    </w:p>
    <w:p w14:paraId="0E116F7E" w14:textId="77777777" w:rsidR="004B4F18" w:rsidRPr="004B4F18" w:rsidRDefault="004B4F18" w:rsidP="004B4F18">
      <w:pPr>
        <w:pStyle w:val="Standard"/>
        <w:tabs>
          <w:tab w:val="left" w:pos="735"/>
        </w:tabs>
        <w:jc w:val="both"/>
        <w:rPr>
          <w:rFonts w:ascii="Arial" w:hAnsi="Arial" w:cs="Arial"/>
          <w:sz w:val="22"/>
          <w:szCs w:val="22"/>
          <w:lang w:val="es-CR"/>
        </w:rPr>
      </w:pPr>
      <w:r w:rsidRPr="004B4F18">
        <w:rPr>
          <w:rFonts w:ascii="Arial" w:hAnsi="Arial" w:cs="Arial"/>
          <w:sz w:val="22"/>
          <w:szCs w:val="22"/>
          <w:lang w:val="es-CR"/>
        </w:rPr>
        <w:t>Finalmente, al 31 de diciembre del 2018 se refleja una Pérdida Neta de ¢1.280 millones, derivada de un may</w:t>
      </w:r>
      <w:r w:rsidR="00991C2F">
        <w:rPr>
          <w:rFonts w:ascii="Arial" w:hAnsi="Arial" w:cs="Arial"/>
          <w:sz w:val="22"/>
          <w:szCs w:val="22"/>
          <w:lang w:val="es-CR"/>
        </w:rPr>
        <w:t>or incremento en los egresos (10</w:t>
      </w:r>
      <w:r w:rsidRPr="004B4F18">
        <w:rPr>
          <w:rFonts w:ascii="Arial" w:hAnsi="Arial" w:cs="Arial"/>
          <w:sz w:val="22"/>
          <w:szCs w:val="22"/>
          <w:lang w:val="es-CR"/>
        </w:rPr>
        <w:t>%</w:t>
      </w:r>
      <w:r w:rsidR="00991C2F">
        <w:rPr>
          <w:rFonts w:ascii="Arial" w:hAnsi="Arial" w:cs="Arial"/>
          <w:sz w:val="22"/>
          <w:szCs w:val="22"/>
          <w:lang w:val="es-CR"/>
        </w:rPr>
        <w:t xml:space="preserve"> considerando tant</w:t>
      </w:r>
      <w:r w:rsidR="00A52190">
        <w:rPr>
          <w:rFonts w:ascii="Arial" w:hAnsi="Arial" w:cs="Arial"/>
          <w:sz w:val="22"/>
          <w:szCs w:val="22"/>
          <w:lang w:val="es-CR"/>
        </w:rPr>
        <w:t>o los costos directos como indi</w:t>
      </w:r>
      <w:r w:rsidR="00991C2F">
        <w:rPr>
          <w:rFonts w:ascii="Arial" w:hAnsi="Arial" w:cs="Arial"/>
          <w:sz w:val="22"/>
          <w:szCs w:val="22"/>
          <w:lang w:val="es-CR"/>
        </w:rPr>
        <w:t>rectos</w:t>
      </w:r>
      <w:r w:rsidRPr="004B4F18">
        <w:rPr>
          <w:rFonts w:ascii="Arial" w:hAnsi="Arial" w:cs="Arial"/>
          <w:sz w:val="22"/>
          <w:szCs w:val="22"/>
          <w:lang w:val="es-CR"/>
        </w:rPr>
        <w:t xml:space="preserve">) con respecto a los ingresos (12%), sin embargo, producto del aumento tarifario indicado, la pérdida neta registra una disminución del 56%, equivalente a ¢1.604 millones, aún cuando ésta es menor es evidente que el aumento aprobado que rige desde octubre no es suficiente para hacer frente a los costos totales. </w:t>
      </w:r>
    </w:p>
    <w:p w14:paraId="4DEEE387" w14:textId="77777777" w:rsidR="004B4F18" w:rsidRPr="004B4F18" w:rsidRDefault="004B4F18" w:rsidP="004B4F18">
      <w:pPr>
        <w:pStyle w:val="Standard"/>
        <w:tabs>
          <w:tab w:val="left" w:pos="735"/>
        </w:tabs>
        <w:jc w:val="both"/>
        <w:rPr>
          <w:rFonts w:ascii="Arial" w:hAnsi="Arial" w:cs="Arial"/>
          <w:sz w:val="22"/>
          <w:szCs w:val="22"/>
          <w:lang w:val="es-CR"/>
        </w:rPr>
      </w:pPr>
    </w:p>
    <w:p w14:paraId="609B9911" w14:textId="77777777" w:rsidR="004B4F18" w:rsidRPr="004B4F18" w:rsidRDefault="004B4F18" w:rsidP="004B4F18">
      <w:pPr>
        <w:pStyle w:val="Standard"/>
        <w:tabs>
          <w:tab w:val="left" w:pos="735"/>
        </w:tabs>
        <w:jc w:val="both"/>
        <w:rPr>
          <w:rFonts w:ascii="Arial" w:hAnsi="Arial" w:cs="Arial"/>
          <w:sz w:val="22"/>
          <w:szCs w:val="22"/>
          <w:lang w:val="es-CR"/>
        </w:rPr>
      </w:pPr>
      <w:r w:rsidRPr="004B4F18">
        <w:rPr>
          <w:rFonts w:ascii="Arial" w:hAnsi="Arial" w:cs="Arial"/>
          <w:sz w:val="22"/>
          <w:szCs w:val="22"/>
          <w:lang w:val="es-CR"/>
        </w:rPr>
        <w:t>Es importante mencionar que, esta Subgerencia tiene un crecimiento de ¢4.986 millones en su depreciación directa y ¢5.036 millones en su depreciación total, principalmente originado en el impacto de las clases de activos reval</w:t>
      </w:r>
      <w:r w:rsidR="00991C2F">
        <w:rPr>
          <w:rFonts w:ascii="Arial" w:hAnsi="Arial" w:cs="Arial"/>
          <w:sz w:val="22"/>
          <w:szCs w:val="22"/>
          <w:lang w:val="es-CR"/>
        </w:rPr>
        <w:t xml:space="preserve">oradas a finales del 2016 </w:t>
      </w:r>
      <w:r w:rsidRPr="004B4F18">
        <w:rPr>
          <w:rFonts w:ascii="Arial" w:hAnsi="Arial" w:cs="Arial"/>
          <w:sz w:val="22"/>
          <w:szCs w:val="22"/>
          <w:lang w:val="es-CR"/>
        </w:rPr>
        <w:t>y 2018.</w:t>
      </w:r>
    </w:p>
    <w:p w14:paraId="4C4C1803" w14:textId="77777777" w:rsidR="00996963" w:rsidRDefault="00996963" w:rsidP="00996963">
      <w:pPr>
        <w:pStyle w:val="Standard"/>
        <w:tabs>
          <w:tab w:val="left" w:pos="735"/>
        </w:tabs>
        <w:jc w:val="both"/>
        <w:rPr>
          <w:rFonts w:ascii="Arial" w:hAnsi="Arial" w:cs="Arial"/>
          <w:b/>
        </w:rPr>
      </w:pPr>
    </w:p>
    <w:p w14:paraId="1E420814" w14:textId="77777777" w:rsidR="008D6874" w:rsidRDefault="00996963" w:rsidP="008D6874">
      <w:pPr>
        <w:pStyle w:val="Standard"/>
        <w:tabs>
          <w:tab w:val="left" w:pos="735"/>
        </w:tabs>
        <w:jc w:val="both"/>
        <w:rPr>
          <w:rFonts w:ascii="Arial" w:hAnsi="Arial" w:cs="Arial"/>
          <w:b/>
        </w:rPr>
      </w:pPr>
      <w:r>
        <w:rPr>
          <w:rFonts w:ascii="Arial" w:hAnsi="Arial" w:cs="Arial"/>
          <w:b/>
        </w:rPr>
        <w:t xml:space="preserve">Subgerencia Técnica Sistemas Periféricos   </w:t>
      </w:r>
    </w:p>
    <w:p w14:paraId="663CAAB3" w14:textId="77777777" w:rsidR="00BA3B81" w:rsidRDefault="00BA3B81" w:rsidP="004B4F18">
      <w:pPr>
        <w:pStyle w:val="Standard"/>
        <w:tabs>
          <w:tab w:val="left" w:pos="735"/>
        </w:tabs>
        <w:jc w:val="both"/>
        <w:rPr>
          <w:rFonts w:ascii="Arial" w:hAnsi="Arial" w:cs="Arial"/>
          <w:sz w:val="22"/>
          <w:szCs w:val="22"/>
        </w:rPr>
      </w:pPr>
      <w:r w:rsidRPr="00BA3B81">
        <w:rPr>
          <w:noProof/>
          <w:sz w:val="22"/>
          <w:szCs w:val="22"/>
          <w:lang w:val="es-CR" w:eastAsia="es-CR"/>
        </w:rPr>
        <w:drawing>
          <wp:anchor distT="0" distB="0" distL="114300" distR="114300" simplePos="0" relativeHeight="251857920" behindDoc="0" locked="0" layoutInCell="1" allowOverlap="1" wp14:anchorId="73F3E3F6" wp14:editId="6E7D42BC">
            <wp:simplePos x="0" y="0"/>
            <wp:positionH relativeFrom="margin">
              <wp:align>left</wp:align>
            </wp:positionH>
            <wp:positionV relativeFrom="paragraph">
              <wp:posOffset>124460</wp:posOffset>
            </wp:positionV>
            <wp:extent cx="4991100" cy="305625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1100" cy="3056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 xml:space="preserve">    </w:t>
      </w:r>
    </w:p>
    <w:p w14:paraId="406D8126" w14:textId="77777777" w:rsidR="00BA3B81" w:rsidRDefault="00BA3B81" w:rsidP="004B4F18">
      <w:pPr>
        <w:pStyle w:val="Standard"/>
        <w:tabs>
          <w:tab w:val="left" w:pos="735"/>
        </w:tabs>
        <w:jc w:val="both"/>
        <w:rPr>
          <w:rFonts w:ascii="Arial" w:hAnsi="Arial" w:cs="Arial"/>
          <w:sz w:val="22"/>
          <w:szCs w:val="22"/>
        </w:rPr>
      </w:pPr>
    </w:p>
    <w:p w14:paraId="44006CC4" w14:textId="77777777" w:rsidR="00BA3B81" w:rsidRDefault="00BA3B81" w:rsidP="004B4F18">
      <w:pPr>
        <w:pStyle w:val="Standard"/>
        <w:tabs>
          <w:tab w:val="left" w:pos="735"/>
        </w:tabs>
        <w:jc w:val="both"/>
        <w:rPr>
          <w:rFonts w:ascii="Arial" w:hAnsi="Arial" w:cs="Arial"/>
          <w:sz w:val="22"/>
          <w:szCs w:val="22"/>
        </w:rPr>
      </w:pPr>
    </w:p>
    <w:p w14:paraId="5F596C80" w14:textId="77777777" w:rsidR="00BA3B81" w:rsidRDefault="00BA3B81" w:rsidP="004B4F18">
      <w:pPr>
        <w:pStyle w:val="Standard"/>
        <w:tabs>
          <w:tab w:val="left" w:pos="735"/>
        </w:tabs>
        <w:jc w:val="both"/>
        <w:rPr>
          <w:rFonts w:ascii="Arial" w:hAnsi="Arial" w:cs="Arial"/>
          <w:sz w:val="22"/>
          <w:szCs w:val="22"/>
        </w:rPr>
      </w:pPr>
    </w:p>
    <w:p w14:paraId="04A4476A" w14:textId="77777777" w:rsidR="00BA3B81" w:rsidRDefault="00BA3B81" w:rsidP="004B4F18">
      <w:pPr>
        <w:pStyle w:val="Standard"/>
        <w:tabs>
          <w:tab w:val="left" w:pos="735"/>
        </w:tabs>
        <w:jc w:val="both"/>
        <w:rPr>
          <w:rFonts w:ascii="Arial" w:hAnsi="Arial" w:cs="Arial"/>
          <w:sz w:val="22"/>
          <w:szCs w:val="22"/>
        </w:rPr>
      </w:pPr>
    </w:p>
    <w:p w14:paraId="2D5469FA" w14:textId="77777777" w:rsidR="00BA3B81" w:rsidRDefault="00BA3B81" w:rsidP="004B4F18">
      <w:pPr>
        <w:pStyle w:val="Standard"/>
        <w:tabs>
          <w:tab w:val="left" w:pos="735"/>
        </w:tabs>
        <w:jc w:val="both"/>
        <w:rPr>
          <w:rFonts w:ascii="Arial" w:hAnsi="Arial" w:cs="Arial"/>
          <w:sz w:val="22"/>
          <w:szCs w:val="22"/>
        </w:rPr>
      </w:pPr>
    </w:p>
    <w:p w14:paraId="1A7265B4" w14:textId="77777777" w:rsidR="00BA3B81" w:rsidRDefault="00BA3B81" w:rsidP="004B4F18">
      <w:pPr>
        <w:pStyle w:val="Standard"/>
        <w:tabs>
          <w:tab w:val="left" w:pos="735"/>
        </w:tabs>
        <w:jc w:val="both"/>
        <w:rPr>
          <w:rFonts w:ascii="Arial" w:hAnsi="Arial" w:cs="Arial"/>
          <w:sz w:val="22"/>
          <w:szCs w:val="22"/>
        </w:rPr>
      </w:pPr>
    </w:p>
    <w:p w14:paraId="31B4619D" w14:textId="77777777" w:rsidR="00BA3B81" w:rsidRDefault="00BA3B81" w:rsidP="004B4F18">
      <w:pPr>
        <w:pStyle w:val="Standard"/>
        <w:tabs>
          <w:tab w:val="left" w:pos="735"/>
        </w:tabs>
        <w:jc w:val="both"/>
        <w:rPr>
          <w:rFonts w:ascii="Arial" w:hAnsi="Arial" w:cs="Arial"/>
          <w:sz w:val="22"/>
          <w:szCs w:val="22"/>
        </w:rPr>
      </w:pPr>
    </w:p>
    <w:p w14:paraId="701198DA" w14:textId="77777777" w:rsidR="00BA3B81" w:rsidRDefault="00BA3B81" w:rsidP="004B4F18">
      <w:pPr>
        <w:pStyle w:val="Standard"/>
        <w:tabs>
          <w:tab w:val="left" w:pos="735"/>
        </w:tabs>
        <w:jc w:val="both"/>
        <w:rPr>
          <w:rFonts w:ascii="Arial" w:hAnsi="Arial" w:cs="Arial"/>
          <w:sz w:val="22"/>
          <w:szCs w:val="22"/>
        </w:rPr>
      </w:pPr>
    </w:p>
    <w:p w14:paraId="6E21D4B6" w14:textId="77777777" w:rsidR="00BA3B81" w:rsidRDefault="00BA3B81" w:rsidP="004B4F18">
      <w:pPr>
        <w:pStyle w:val="Standard"/>
        <w:tabs>
          <w:tab w:val="left" w:pos="735"/>
        </w:tabs>
        <w:jc w:val="both"/>
        <w:rPr>
          <w:rFonts w:ascii="Arial" w:hAnsi="Arial" w:cs="Arial"/>
          <w:sz w:val="22"/>
          <w:szCs w:val="22"/>
        </w:rPr>
      </w:pPr>
    </w:p>
    <w:p w14:paraId="22EA2B27" w14:textId="77777777" w:rsidR="00BA3B81" w:rsidRDefault="00BA3B81" w:rsidP="004B4F18">
      <w:pPr>
        <w:pStyle w:val="Standard"/>
        <w:tabs>
          <w:tab w:val="left" w:pos="735"/>
        </w:tabs>
        <w:jc w:val="both"/>
        <w:rPr>
          <w:rFonts w:ascii="Arial" w:hAnsi="Arial" w:cs="Arial"/>
          <w:sz w:val="22"/>
          <w:szCs w:val="22"/>
        </w:rPr>
      </w:pPr>
    </w:p>
    <w:p w14:paraId="0C863357" w14:textId="77777777" w:rsidR="00BA3B81" w:rsidRDefault="00BA3B81" w:rsidP="004B4F18">
      <w:pPr>
        <w:pStyle w:val="Standard"/>
        <w:tabs>
          <w:tab w:val="left" w:pos="735"/>
        </w:tabs>
        <w:jc w:val="both"/>
        <w:rPr>
          <w:rFonts w:ascii="Arial" w:hAnsi="Arial" w:cs="Arial"/>
          <w:sz w:val="22"/>
          <w:szCs w:val="22"/>
        </w:rPr>
      </w:pPr>
    </w:p>
    <w:p w14:paraId="136C3E9D" w14:textId="77777777" w:rsidR="00BA3B81" w:rsidRDefault="00BA3B81" w:rsidP="004B4F18">
      <w:pPr>
        <w:pStyle w:val="Standard"/>
        <w:tabs>
          <w:tab w:val="left" w:pos="735"/>
        </w:tabs>
        <w:jc w:val="both"/>
        <w:rPr>
          <w:rFonts w:ascii="Arial" w:hAnsi="Arial" w:cs="Arial"/>
          <w:sz w:val="22"/>
          <w:szCs w:val="22"/>
        </w:rPr>
      </w:pPr>
    </w:p>
    <w:p w14:paraId="3AAAD4BE" w14:textId="77777777" w:rsidR="00BA3B81" w:rsidRDefault="00BA3B81" w:rsidP="004B4F18">
      <w:pPr>
        <w:pStyle w:val="Standard"/>
        <w:tabs>
          <w:tab w:val="left" w:pos="735"/>
        </w:tabs>
        <w:jc w:val="both"/>
        <w:rPr>
          <w:rFonts w:ascii="Arial" w:hAnsi="Arial" w:cs="Arial"/>
          <w:sz w:val="22"/>
          <w:szCs w:val="22"/>
        </w:rPr>
      </w:pPr>
    </w:p>
    <w:p w14:paraId="46B05058" w14:textId="77777777" w:rsidR="00BA3B81" w:rsidRDefault="00BA3B81" w:rsidP="004B4F18">
      <w:pPr>
        <w:pStyle w:val="Standard"/>
        <w:tabs>
          <w:tab w:val="left" w:pos="735"/>
        </w:tabs>
        <w:jc w:val="both"/>
        <w:rPr>
          <w:rFonts w:ascii="Arial" w:hAnsi="Arial" w:cs="Arial"/>
          <w:sz w:val="22"/>
          <w:szCs w:val="22"/>
        </w:rPr>
      </w:pPr>
    </w:p>
    <w:p w14:paraId="75071935" w14:textId="77777777" w:rsidR="00BA3B81" w:rsidRDefault="00BA3B81" w:rsidP="004B4F18">
      <w:pPr>
        <w:pStyle w:val="Standard"/>
        <w:tabs>
          <w:tab w:val="left" w:pos="735"/>
        </w:tabs>
        <w:jc w:val="both"/>
        <w:rPr>
          <w:rFonts w:ascii="Arial" w:hAnsi="Arial" w:cs="Arial"/>
          <w:sz w:val="22"/>
          <w:szCs w:val="22"/>
        </w:rPr>
      </w:pPr>
    </w:p>
    <w:p w14:paraId="2C5EECE8" w14:textId="77777777" w:rsidR="00BA3B81" w:rsidRDefault="00BA3B81" w:rsidP="004B4F18">
      <w:pPr>
        <w:pStyle w:val="Standard"/>
        <w:tabs>
          <w:tab w:val="left" w:pos="735"/>
        </w:tabs>
        <w:jc w:val="both"/>
        <w:rPr>
          <w:rFonts w:ascii="Arial" w:hAnsi="Arial" w:cs="Arial"/>
          <w:sz w:val="22"/>
          <w:szCs w:val="22"/>
        </w:rPr>
      </w:pPr>
    </w:p>
    <w:p w14:paraId="50B3546D" w14:textId="77777777" w:rsidR="00BA3B81" w:rsidRDefault="00BA3B81" w:rsidP="004B4F18">
      <w:pPr>
        <w:pStyle w:val="Standard"/>
        <w:tabs>
          <w:tab w:val="left" w:pos="735"/>
        </w:tabs>
        <w:jc w:val="both"/>
        <w:rPr>
          <w:rFonts w:ascii="Arial" w:hAnsi="Arial" w:cs="Arial"/>
          <w:sz w:val="22"/>
          <w:szCs w:val="22"/>
        </w:rPr>
      </w:pPr>
    </w:p>
    <w:p w14:paraId="0ABAB2C4" w14:textId="77777777" w:rsidR="00BA3B81" w:rsidRDefault="00BA3B81" w:rsidP="004B4F18">
      <w:pPr>
        <w:pStyle w:val="Standard"/>
        <w:tabs>
          <w:tab w:val="left" w:pos="735"/>
        </w:tabs>
        <w:jc w:val="both"/>
        <w:rPr>
          <w:rFonts w:ascii="Arial" w:hAnsi="Arial" w:cs="Arial"/>
          <w:sz w:val="22"/>
          <w:szCs w:val="22"/>
        </w:rPr>
      </w:pPr>
    </w:p>
    <w:p w14:paraId="3768C286" w14:textId="77777777" w:rsidR="00BA3B81" w:rsidRDefault="00BA3B81" w:rsidP="004B4F18">
      <w:pPr>
        <w:pStyle w:val="Standard"/>
        <w:tabs>
          <w:tab w:val="left" w:pos="735"/>
        </w:tabs>
        <w:jc w:val="both"/>
        <w:rPr>
          <w:rFonts w:ascii="Arial" w:hAnsi="Arial" w:cs="Arial"/>
          <w:sz w:val="22"/>
          <w:szCs w:val="22"/>
        </w:rPr>
      </w:pPr>
    </w:p>
    <w:p w14:paraId="48FB66CC" w14:textId="77777777" w:rsidR="00BA3B81" w:rsidRDefault="00BA3B81" w:rsidP="004B4F18">
      <w:pPr>
        <w:pStyle w:val="Standard"/>
        <w:tabs>
          <w:tab w:val="left" w:pos="735"/>
        </w:tabs>
        <w:jc w:val="both"/>
        <w:rPr>
          <w:rFonts w:ascii="Arial" w:hAnsi="Arial" w:cs="Arial"/>
          <w:sz w:val="22"/>
          <w:szCs w:val="22"/>
        </w:rPr>
      </w:pPr>
    </w:p>
    <w:p w14:paraId="6FA36AF6" w14:textId="77777777" w:rsidR="00BA3B81" w:rsidRDefault="00BA3B81" w:rsidP="004B4F18">
      <w:pPr>
        <w:pStyle w:val="Standard"/>
        <w:tabs>
          <w:tab w:val="left" w:pos="735"/>
        </w:tabs>
        <w:jc w:val="both"/>
        <w:rPr>
          <w:rFonts w:ascii="Arial" w:hAnsi="Arial" w:cs="Arial"/>
          <w:sz w:val="22"/>
          <w:szCs w:val="22"/>
        </w:rPr>
      </w:pPr>
    </w:p>
    <w:p w14:paraId="6B4B4AD0" w14:textId="77777777" w:rsidR="00BA3B81" w:rsidRDefault="00BA3B81" w:rsidP="00BA3B81">
      <w:pPr>
        <w:pStyle w:val="Standard"/>
        <w:tabs>
          <w:tab w:val="left" w:pos="735"/>
        </w:tabs>
        <w:jc w:val="right"/>
        <w:rPr>
          <w:rFonts w:ascii="Arial" w:hAnsi="Arial" w:cs="Arial"/>
          <w:sz w:val="22"/>
          <w:szCs w:val="22"/>
        </w:rPr>
      </w:pPr>
      <w:r w:rsidRPr="00BA3B81">
        <w:rPr>
          <w:rFonts w:ascii="Arial" w:hAnsi="Arial" w:cs="Arial"/>
          <w:sz w:val="22"/>
          <w:szCs w:val="22"/>
        </w:rPr>
        <w:t>26</w:t>
      </w:r>
      <w:r w:rsidR="008D6874">
        <w:rPr>
          <w:rFonts w:ascii="Arial" w:hAnsi="Arial" w:cs="Arial"/>
          <w:sz w:val="22"/>
          <w:szCs w:val="22"/>
        </w:rPr>
        <w:t xml:space="preserve">                                                        </w:t>
      </w:r>
      <w:r w:rsidR="00547F36">
        <w:rPr>
          <w:rFonts w:ascii="Arial" w:hAnsi="Arial" w:cs="Arial"/>
          <w:sz w:val="22"/>
          <w:szCs w:val="22"/>
        </w:rPr>
        <w:t xml:space="preserve">           </w:t>
      </w:r>
    </w:p>
    <w:p w14:paraId="4281F9AF" w14:textId="77777777" w:rsidR="00996963" w:rsidRPr="00547F36" w:rsidRDefault="00BA3B81" w:rsidP="008D6874">
      <w:pPr>
        <w:pStyle w:val="Ttulo8"/>
        <w:spacing w:after="119"/>
        <w:rPr>
          <w:rFonts w:ascii="Arial" w:hAnsi="Arial" w:cs="Arial"/>
          <w:b/>
          <w:sz w:val="22"/>
          <w:szCs w:val="22"/>
        </w:rPr>
      </w:pPr>
      <w:r>
        <w:rPr>
          <w:rFonts w:ascii="Arial" w:hAnsi="Arial" w:cs="Arial"/>
          <w:b/>
          <w:sz w:val="22"/>
          <w:szCs w:val="22"/>
        </w:rPr>
        <w:lastRenderedPageBreak/>
        <w:t xml:space="preserve">                                                                       </w:t>
      </w:r>
      <w:r w:rsidR="00594CE1">
        <w:rPr>
          <w:rFonts w:ascii="Arial" w:hAnsi="Arial" w:cs="Arial"/>
          <w:b/>
          <w:sz w:val="22"/>
          <w:szCs w:val="22"/>
        </w:rPr>
        <w:t>Gráfico 14</w:t>
      </w:r>
    </w:p>
    <w:p w14:paraId="0F548C9D" w14:textId="77777777" w:rsidR="00EF5C2E" w:rsidRDefault="00BA3B81" w:rsidP="004B4F18">
      <w:pPr>
        <w:tabs>
          <w:tab w:val="left" w:pos="3780"/>
        </w:tabs>
        <w:spacing w:line="240" w:lineRule="auto"/>
        <w:rPr>
          <w:rFonts w:ascii="Arial" w:hAnsi="Arial" w:cs="Arial"/>
        </w:rPr>
      </w:pPr>
      <w:r w:rsidRPr="00EF5C2E">
        <w:rPr>
          <w:noProof/>
          <w:lang w:eastAsia="es-CR"/>
        </w:rPr>
        <w:drawing>
          <wp:anchor distT="0" distB="0" distL="114300" distR="114300" simplePos="0" relativeHeight="251845632" behindDoc="0" locked="0" layoutInCell="1" allowOverlap="1" wp14:anchorId="56761590" wp14:editId="0B262B7A">
            <wp:simplePos x="0" y="0"/>
            <wp:positionH relativeFrom="margin">
              <wp:posOffset>2676525</wp:posOffset>
            </wp:positionH>
            <wp:positionV relativeFrom="paragraph">
              <wp:posOffset>8255</wp:posOffset>
            </wp:positionV>
            <wp:extent cx="3329305" cy="2148840"/>
            <wp:effectExtent l="0" t="0" r="4445" b="381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9305" cy="2148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314F0" w14:textId="77777777" w:rsidR="004B4F18" w:rsidRPr="004B4F18" w:rsidRDefault="004B4F18" w:rsidP="004B4F18">
      <w:pPr>
        <w:tabs>
          <w:tab w:val="left" w:pos="3780"/>
        </w:tabs>
        <w:spacing w:line="240" w:lineRule="auto"/>
        <w:rPr>
          <w:rFonts w:ascii="Arial" w:hAnsi="Arial" w:cs="Arial"/>
        </w:rPr>
      </w:pPr>
      <w:r w:rsidRPr="004B4F18">
        <w:rPr>
          <w:rFonts w:ascii="Arial" w:hAnsi="Arial" w:cs="Arial"/>
        </w:rPr>
        <w:t>Al 31 de diciembre del 2018 los ingresos</w:t>
      </w:r>
      <w:r w:rsidR="00FD2F83">
        <w:rPr>
          <w:rFonts w:ascii="Arial" w:hAnsi="Arial" w:cs="Arial"/>
        </w:rPr>
        <w:t xml:space="preserve"> por facturación aumentan ¢5.619</w:t>
      </w:r>
      <w:r w:rsidRPr="004B4F18">
        <w:rPr>
          <w:rFonts w:ascii="Arial" w:hAnsi="Arial" w:cs="Arial"/>
        </w:rPr>
        <w:t xml:space="preserve"> millones (11%) en comparación con el mismo período 2017, producto del incremento tarifario aprobado a partir de octubre del 2017, publicado en la Gaceta del 21 de setiembre del 2017.</w:t>
      </w:r>
      <w:r w:rsidR="00E77796">
        <w:rPr>
          <w:rFonts w:ascii="Arial" w:hAnsi="Arial" w:cs="Arial"/>
        </w:rPr>
        <w:t xml:space="preserve"> L</w:t>
      </w:r>
      <w:r w:rsidR="00E77796" w:rsidRPr="00E77796">
        <w:rPr>
          <w:rFonts w:ascii="Arial" w:hAnsi="Arial" w:cs="Arial"/>
        </w:rPr>
        <w:t>os ingresos financieros y otr</w:t>
      </w:r>
      <w:r w:rsidR="00E77796">
        <w:rPr>
          <w:rFonts w:ascii="Arial" w:hAnsi="Arial" w:cs="Arial"/>
        </w:rPr>
        <w:t>os conceptos se incrementan ¢1.266</w:t>
      </w:r>
      <w:r w:rsidR="00E77796" w:rsidRPr="00E77796">
        <w:rPr>
          <w:rFonts w:ascii="Arial" w:hAnsi="Arial" w:cs="Arial"/>
        </w:rPr>
        <w:t xml:space="preserve"> millones por la implementación de la nueva Política Contable para el registro de las donaciones que establece que las donaciones se deben diferir en el período de la vida útil de los activos recibidos, por tanto, se contabilizan originalmente</w:t>
      </w:r>
      <w:r w:rsidR="00E77796" w:rsidRPr="00FD2F83">
        <w:rPr>
          <w:rFonts w:ascii="Arial" w:hAnsi="Arial" w:cs="Arial"/>
          <w:color w:val="FF0000"/>
        </w:rPr>
        <w:t xml:space="preserve"> </w:t>
      </w:r>
      <w:r w:rsidR="00E77796" w:rsidRPr="00E77796">
        <w:rPr>
          <w:rFonts w:ascii="Arial" w:hAnsi="Arial" w:cs="Arial"/>
        </w:rPr>
        <w:t>como un pasivo diferido y se amortizan conforme se realizan</w:t>
      </w:r>
      <w:r w:rsidR="00E77796">
        <w:rPr>
          <w:rFonts w:ascii="Arial" w:hAnsi="Arial" w:cs="Arial"/>
        </w:rPr>
        <w:t>.</w:t>
      </w:r>
    </w:p>
    <w:p w14:paraId="406713FA" w14:textId="77777777" w:rsidR="004B4F18" w:rsidRPr="004B4F18" w:rsidRDefault="004B4F18" w:rsidP="004B4F18">
      <w:pPr>
        <w:tabs>
          <w:tab w:val="left" w:pos="3780"/>
        </w:tabs>
        <w:spacing w:line="240" w:lineRule="auto"/>
        <w:rPr>
          <w:rFonts w:ascii="Arial" w:hAnsi="Arial" w:cs="Arial"/>
        </w:rPr>
      </w:pPr>
      <w:r w:rsidRPr="004B4F18">
        <w:rPr>
          <w:rFonts w:ascii="Arial" w:hAnsi="Arial" w:cs="Arial"/>
        </w:rPr>
        <w:t>Los costos directos administrativos y operativos reflejan una leve disminución de ¢155 millones.</w:t>
      </w:r>
    </w:p>
    <w:p w14:paraId="4D764106" w14:textId="77777777" w:rsidR="004B4F18" w:rsidRPr="004B4F18" w:rsidRDefault="004B4F18" w:rsidP="004B4F18">
      <w:pPr>
        <w:tabs>
          <w:tab w:val="left" w:pos="3780"/>
        </w:tabs>
        <w:spacing w:line="240" w:lineRule="auto"/>
        <w:rPr>
          <w:rFonts w:ascii="Arial" w:hAnsi="Arial" w:cs="Arial"/>
        </w:rPr>
      </w:pPr>
      <w:r>
        <w:rPr>
          <w:rFonts w:ascii="Arial" w:hAnsi="Arial" w:cs="Arial"/>
        </w:rPr>
        <w:t xml:space="preserve"> </w:t>
      </w:r>
      <w:r w:rsidRPr="004B4F18">
        <w:rPr>
          <w:rFonts w:ascii="Arial" w:hAnsi="Arial" w:cs="Arial"/>
        </w:rPr>
        <w:t>La Utilidad Bruta de Operación fue positiva en los dos períodos analizados; para el   2017 fue de ¢6.883 millones y en el 2018 fue de ¢15.170 millones, para un crecimiento de ¢8.287 millones (120%).</w:t>
      </w:r>
    </w:p>
    <w:p w14:paraId="4CA96FE6" w14:textId="77777777" w:rsidR="004B4F18" w:rsidRPr="004B4F18" w:rsidRDefault="004B4F18" w:rsidP="004B4F18">
      <w:pPr>
        <w:tabs>
          <w:tab w:val="left" w:pos="3780"/>
        </w:tabs>
        <w:spacing w:line="240" w:lineRule="auto"/>
        <w:rPr>
          <w:rFonts w:ascii="Arial" w:hAnsi="Arial" w:cs="Arial"/>
        </w:rPr>
      </w:pPr>
      <w:r w:rsidRPr="004B4F18">
        <w:rPr>
          <w:rFonts w:ascii="Arial" w:hAnsi="Arial" w:cs="Arial"/>
        </w:rPr>
        <w:t>El total de los costos indirectos y financieros registra un aumento neto de ¢3,168 millones, ya que pasan de ¢20.693 millones en el 2017 a ¢23.861 millones en el mismo período del 2018, los movimientos más representativos de esta sección son los siguientes:</w:t>
      </w:r>
    </w:p>
    <w:p w14:paraId="1B36B9E7" w14:textId="77777777" w:rsidR="004B4F18" w:rsidRDefault="004B4F18" w:rsidP="00594CE1">
      <w:pPr>
        <w:pStyle w:val="Prrafodelista"/>
        <w:numPr>
          <w:ilvl w:val="0"/>
          <w:numId w:val="42"/>
        </w:numPr>
        <w:tabs>
          <w:tab w:val="left" w:pos="3780"/>
        </w:tabs>
        <w:spacing w:line="240" w:lineRule="auto"/>
        <w:rPr>
          <w:rFonts w:ascii="Arial" w:hAnsi="Arial" w:cs="Arial"/>
        </w:rPr>
      </w:pPr>
      <w:r w:rsidRPr="004B4F18">
        <w:rPr>
          <w:rFonts w:ascii="Arial" w:hAnsi="Arial" w:cs="Arial"/>
        </w:rPr>
        <w:t xml:space="preserve">Costos indirectos distribuidos desde la Sede: presentan un aumento neto para el 2018 de ¢1.653 millones, en cuanto a la Depreciación Indirecta presenta un crecimiento de ¢63 millones (14%). </w:t>
      </w:r>
    </w:p>
    <w:p w14:paraId="1D868340" w14:textId="77777777" w:rsidR="00EF5C2E" w:rsidRPr="004B4F18" w:rsidRDefault="00EF5C2E" w:rsidP="00EF5C2E">
      <w:pPr>
        <w:pStyle w:val="Prrafodelista"/>
        <w:tabs>
          <w:tab w:val="left" w:pos="3780"/>
        </w:tabs>
        <w:spacing w:line="240" w:lineRule="auto"/>
        <w:rPr>
          <w:rFonts w:ascii="Arial" w:hAnsi="Arial" w:cs="Arial"/>
        </w:rPr>
      </w:pPr>
    </w:p>
    <w:p w14:paraId="4C65E7CB" w14:textId="77777777" w:rsidR="004B4F18" w:rsidRPr="004B4F18" w:rsidRDefault="004B4F18" w:rsidP="00594CE1">
      <w:pPr>
        <w:pStyle w:val="Prrafodelista"/>
        <w:numPr>
          <w:ilvl w:val="0"/>
          <w:numId w:val="42"/>
        </w:numPr>
        <w:tabs>
          <w:tab w:val="left" w:pos="3780"/>
        </w:tabs>
        <w:spacing w:line="240" w:lineRule="auto"/>
        <w:rPr>
          <w:rFonts w:ascii="Arial" w:hAnsi="Arial" w:cs="Arial"/>
        </w:rPr>
      </w:pPr>
      <w:r w:rsidRPr="004B4F18">
        <w:rPr>
          <w:rFonts w:ascii="Arial" w:hAnsi="Arial" w:cs="Arial"/>
        </w:rPr>
        <w:t xml:space="preserve">Sección Financiera: Los gastos por diferencial cambiario ascienden a ¢1.290 millones en el 2017, en el 2018 son de ¢2.742 millones, ocasionando un incremento en egresos por ¢1.452 millones (113%). </w:t>
      </w:r>
    </w:p>
    <w:p w14:paraId="7C7A43C3" w14:textId="77777777" w:rsidR="00996963" w:rsidRDefault="004B4F18" w:rsidP="004B4F18">
      <w:pPr>
        <w:tabs>
          <w:tab w:val="left" w:pos="3780"/>
        </w:tabs>
        <w:spacing w:line="240" w:lineRule="auto"/>
      </w:pPr>
      <w:r w:rsidRPr="004B4F18">
        <w:rPr>
          <w:rFonts w:ascii="Arial" w:hAnsi="Arial" w:cs="Arial"/>
        </w:rPr>
        <w:t>Al aplicar a la Utilidad Bruta de Operación (¢15.170 millones) los costos indirectos y financieros (¢23.861 millones), se obtiene al cierre del período una Pérdida Neta de 8.692 millones, esto debido a que los ingresos no cubren los egresos del período.  Aún, cuando se registró un aumento de tarifas que rige desde octubre del 2017 no fue suficiente para cubrir el total de los egresos.</w:t>
      </w:r>
      <w:r w:rsidR="00996963">
        <w:rPr>
          <w:rFonts w:ascii="Arial" w:hAnsi="Arial" w:cs="Arial"/>
        </w:rPr>
        <w:t xml:space="preserve">   </w:t>
      </w:r>
      <w:r w:rsidR="00996963">
        <w:rPr>
          <w:rFonts w:ascii="Arial" w:hAnsi="Arial" w:cs="Arial"/>
          <w:b/>
          <w:bCs/>
        </w:rPr>
        <w:t xml:space="preserve"> </w:t>
      </w:r>
    </w:p>
    <w:p w14:paraId="79869B0E" w14:textId="77777777" w:rsidR="00E77796" w:rsidRPr="00BA3B81" w:rsidRDefault="00BA3B81" w:rsidP="00BA3B81">
      <w:pPr>
        <w:pStyle w:val="Standard"/>
        <w:jc w:val="right"/>
        <w:rPr>
          <w:rFonts w:ascii="Arial" w:hAnsi="Arial" w:cs="Arial"/>
          <w:sz w:val="22"/>
          <w:szCs w:val="22"/>
        </w:rPr>
      </w:pPr>
      <w:r w:rsidRPr="00BA3B81">
        <w:rPr>
          <w:rFonts w:ascii="Arial" w:hAnsi="Arial" w:cs="Arial"/>
          <w:sz w:val="22"/>
          <w:szCs w:val="22"/>
        </w:rPr>
        <w:t>27</w:t>
      </w:r>
    </w:p>
    <w:p w14:paraId="3BF754CF" w14:textId="77777777" w:rsidR="00BA3B81" w:rsidRDefault="00BA3B81" w:rsidP="00996963">
      <w:pPr>
        <w:pStyle w:val="Standard"/>
        <w:jc w:val="both"/>
        <w:rPr>
          <w:rFonts w:ascii="Arial" w:hAnsi="Arial" w:cs="Arial"/>
          <w:b/>
          <w:sz w:val="22"/>
          <w:szCs w:val="22"/>
        </w:rPr>
      </w:pPr>
    </w:p>
    <w:p w14:paraId="1A7D5242" w14:textId="77777777" w:rsidR="00996963" w:rsidRDefault="00996963" w:rsidP="00996963">
      <w:pPr>
        <w:pStyle w:val="Standard"/>
        <w:jc w:val="both"/>
      </w:pPr>
      <w:r>
        <w:rPr>
          <w:rFonts w:ascii="Arial" w:hAnsi="Arial" w:cs="Arial"/>
          <w:b/>
          <w:sz w:val="22"/>
          <w:szCs w:val="22"/>
        </w:rPr>
        <w:lastRenderedPageBreak/>
        <w:t>Región Brunca</w:t>
      </w:r>
    </w:p>
    <w:p w14:paraId="54C96546" w14:textId="77777777" w:rsidR="00996963" w:rsidRDefault="00EF5C2E" w:rsidP="00996963">
      <w:pPr>
        <w:pStyle w:val="Standard"/>
        <w:jc w:val="both"/>
      </w:pPr>
      <w:r w:rsidRPr="00EF5C2E">
        <w:rPr>
          <w:noProof/>
          <w:lang w:val="es-CR" w:eastAsia="es-CR"/>
        </w:rPr>
        <w:drawing>
          <wp:anchor distT="0" distB="0" distL="114300" distR="114300" simplePos="0" relativeHeight="251846656" behindDoc="0" locked="0" layoutInCell="1" allowOverlap="1" wp14:anchorId="525EABF4" wp14:editId="14F7982B">
            <wp:simplePos x="0" y="0"/>
            <wp:positionH relativeFrom="margin">
              <wp:posOffset>228600</wp:posOffset>
            </wp:positionH>
            <wp:positionV relativeFrom="paragraph">
              <wp:posOffset>151765</wp:posOffset>
            </wp:positionV>
            <wp:extent cx="4610100" cy="2953385"/>
            <wp:effectExtent l="0" t="0" r="0"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10100" cy="2953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3F0A37" w14:textId="77777777" w:rsidR="000D734D" w:rsidRDefault="000D734D" w:rsidP="00996963">
      <w:pPr>
        <w:pStyle w:val="Textoindependiente21"/>
        <w:spacing w:before="100"/>
        <w:rPr>
          <w:sz w:val="22"/>
          <w:szCs w:val="22"/>
        </w:rPr>
      </w:pPr>
    </w:p>
    <w:p w14:paraId="0677CD61" w14:textId="77777777" w:rsidR="000D734D" w:rsidRDefault="000D734D" w:rsidP="00996963">
      <w:pPr>
        <w:pStyle w:val="Textoindependiente21"/>
        <w:spacing w:before="100"/>
        <w:rPr>
          <w:rFonts w:ascii="Arial" w:eastAsiaTheme="minorHAnsi" w:hAnsi="Arial" w:cs="Arial"/>
          <w:b/>
          <w:kern w:val="0"/>
          <w:sz w:val="22"/>
          <w:szCs w:val="22"/>
          <w:lang w:val="es-CR" w:eastAsia="en-US"/>
        </w:rPr>
      </w:pPr>
    </w:p>
    <w:p w14:paraId="3D0EBD35" w14:textId="77777777" w:rsidR="000D734D" w:rsidRDefault="000D734D" w:rsidP="00996963">
      <w:pPr>
        <w:pStyle w:val="Textoindependiente21"/>
        <w:spacing w:before="100"/>
        <w:rPr>
          <w:rFonts w:ascii="Arial" w:eastAsiaTheme="minorHAnsi" w:hAnsi="Arial" w:cs="Arial"/>
          <w:b/>
          <w:kern w:val="0"/>
          <w:sz w:val="22"/>
          <w:szCs w:val="22"/>
          <w:lang w:val="es-CR" w:eastAsia="en-US"/>
        </w:rPr>
      </w:pPr>
    </w:p>
    <w:p w14:paraId="797D7237" w14:textId="77777777" w:rsidR="000D734D" w:rsidRDefault="000D734D" w:rsidP="00996963">
      <w:pPr>
        <w:pStyle w:val="Textoindependiente21"/>
        <w:spacing w:before="100"/>
        <w:rPr>
          <w:rFonts w:ascii="Arial" w:eastAsiaTheme="minorHAnsi" w:hAnsi="Arial" w:cs="Arial"/>
          <w:b/>
          <w:kern w:val="0"/>
          <w:sz w:val="22"/>
          <w:szCs w:val="22"/>
          <w:lang w:val="es-CR" w:eastAsia="en-US"/>
        </w:rPr>
      </w:pPr>
    </w:p>
    <w:p w14:paraId="5C93B19F" w14:textId="77777777" w:rsidR="000D734D" w:rsidRDefault="000D734D" w:rsidP="00996963">
      <w:pPr>
        <w:pStyle w:val="Textoindependiente21"/>
        <w:spacing w:before="100"/>
        <w:rPr>
          <w:rFonts w:ascii="Arial" w:eastAsiaTheme="minorHAnsi" w:hAnsi="Arial" w:cs="Arial"/>
          <w:b/>
          <w:kern w:val="0"/>
          <w:sz w:val="22"/>
          <w:szCs w:val="22"/>
          <w:lang w:val="es-CR" w:eastAsia="en-US"/>
        </w:rPr>
      </w:pPr>
    </w:p>
    <w:p w14:paraId="29121487" w14:textId="77777777" w:rsidR="000D734D" w:rsidRDefault="000D734D" w:rsidP="00996963">
      <w:pPr>
        <w:pStyle w:val="Textoindependiente21"/>
        <w:spacing w:before="100"/>
        <w:rPr>
          <w:rFonts w:ascii="Arial" w:eastAsiaTheme="minorHAnsi" w:hAnsi="Arial" w:cs="Arial"/>
          <w:b/>
          <w:kern w:val="0"/>
          <w:sz w:val="22"/>
          <w:szCs w:val="22"/>
          <w:lang w:val="es-CR" w:eastAsia="en-US"/>
        </w:rPr>
      </w:pPr>
    </w:p>
    <w:p w14:paraId="35AA4ADF" w14:textId="77777777" w:rsidR="000D734D" w:rsidRDefault="000D734D" w:rsidP="00996963">
      <w:pPr>
        <w:pStyle w:val="Textoindependiente21"/>
        <w:spacing w:before="100"/>
        <w:rPr>
          <w:rFonts w:ascii="Arial" w:eastAsiaTheme="minorHAnsi" w:hAnsi="Arial" w:cs="Arial"/>
          <w:b/>
          <w:kern w:val="0"/>
          <w:sz w:val="22"/>
          <w:szCs w:val="22"/>
          <w:lang w:val="es-CR" w:eastAsia="en-US"/>
        </w:rPr>
      </w:pPr>
    </w:p>
    <w:p w14:paraId="61071FF5" w14:textId="77777777" w:rsidR="000D734D" w:rsidRDefault="000D734D" w:rsidP="00996963">
      <w:pPr>
        <w:pStyle w:val="Textoindependiente21"/>
        <w:spacing w:before="100"/>
        <w:rPr>
          <w:rFonts w:ascii="Arial" w:eastAsiaTheme="minorHAnsi" w:hAnsi="Arial" w:cs="Arial"/>
          <w:b/>
          <w:kern w:val="0"/>
          <w:sz w:val="22"/>
          <w:szCs w:val="22"/>
          <w:lang w:val="es-CR" w:eastAsia="en-US"/>
        </w:rPr>
      </w:pPr>
    </w:p>
    <w:p w14:paraId="6961D6C3" w14:textId="77777777" w:rsidR="000D734D" w:rsidRDefault="000D734D" w:rsidP="00996963">
      <w:pPr>
        <w:pStyle w:val="Textoindependiente21"/>
        <w:spacing w:before="100"/>
        <w:rPr>
          <w:rFonts w:ascii="Arial" w:eastAsiaTheme="minorHAnsi" w:hAnsi="Arial" w:cs="Arial"/>
          <w:b/>
          <w:kern w:val="0"/>
          <w:sz w:val="22"/>
          <w:szCs w:val="22"/>
          <w:lang w:val="es-CR" w:eastAsia="en-US"/>
        </w:rPr>
      </w:pPr>
    </w:p>
    <w:p w14:paraId="6978F218" w14:textId="77777777" w:rsidR="00996963" w:rsidRDefault="00996963" w:rsidP="00996963">
      <w:pPr>
        <w:pStyle w:val="Standard"/>
        <w:tabs>
          <w:tab w:val="left" w:pos="3780"/>
        </w:tabs>
        <w:spacing w:line="200" w:lineRule="atLeast"/>
        <w:jc w:val="both"/>
      </w:pPr>
    </w:p>
    <w:p w14:paraId="5FEC7B34" w14:textId="77777777" w:rsidR="000D734D" w:rsidRDefault="000D734D" w:rsidP="00996963">
      <w:pPr>
        <w:pStyle w:val="Standard"/>
        <w:tabs>
          <w:tab w:val="left" w:pos="3780"/>
        </w:tabs>
        <w:spacing w:line="200" w:lineRule="atLeast"/>
        <w:jc w:val="both"/>
      </w:pPr>
    </w:p>
    <w:p w14:paraId="0E3F56BB" w14:textId="77777777" w:rsidR="000D734D" w:rsidRDefault="000D734D" w:rsidP="00996963">
      <w:pPr>
        <w:pStyle w:val="Standard"/>
        <w:tabs>
          <w:tab w:val="left" w:pos="3780"/>
        </w:tabs>
        <w:spacing w:line="200" w:lineRule="atLeast"/>
        <w:jc w:val="both"/>
      </w:pPr>
    </w:p>
    <w:p w14:paraId="2EEEF96F" w14:textId="77777777" w:rsidR="000D734D" w:rsidRDefault="000D734D" w:rsidP="00996963">
      <w:pPr>
        <w:pStyle w:val="Standard"/>
        <w:tabs>
          <w:tab w:val="left" w:pos="3780"/>
        </w:tabs>
        <w:spacing w:line="200" w:lineRule="atLeast"/>
        <w:jc w:val="both"/>
      </w:pPr>
    </w:p>
    <w:p w14:paraId="20E3E554" w14:textId="77777777" w:rsidR="000D734D" w:rsidRDefault="000D734D" w:rsidP="00996963">
      <w:pPr>
        <w:pStyle w:val="Standard"/>
        <w:tabs>
          <w:tab w:val="left" w:pos="3780"/>
        </w:tabs>
        <w:spacing w:line="200" w:lineRule="atLeast"/>
        <w:jc w:val="both"/>
      </w:pPr>
    </w:p>
    <w:p w14:paraId="61E17E5D" w14:textId="77777777" w:rsidR="000D734D" w:rsidRDefault="000D734D" w:rsidP="00996963">
      <w:pPr>
        <w:pStyle w:val="Standard"/>
        <w:tabs>
          <w:tab w:val="left" w:pos="3780"/>
        </w:tabs>
        <w:spacing w:line="200" w:lineRule="atLeast"/>
        <w:jc w:val="both"/>
      </w:pPr>
    </w:p>
    <w:p w14:paraId="22B98E21" w14:textId="77777777" w:rsidR="00EF5C2E" w:rsidRDefault="00EF5C2E" w:rsidP="00996963">
      <w:pPr>
        <w:pStyle w:val="Encabezadodelatabla"/>
        <w:suppressLineNumbers w:val="0"/>
        <w:tabs>
          <w:tab w:val="left" w:pos="3780"/>
        </w:tabs>
        <w:jc w:val="both"/>
        <w:rPr>
          <w:rFonts w:ascii="Arial" w:eastAsia="Arial" w:hAnsi="Arial" w:cs="Arial"/>
          <w:noProof/>
          <w:sz w:val="22"/>
          <w:szCs w:val="22"/>
          <w:lang w:val="es-CR" w:eastAsia="es-CR"/>
        </w:rPr>
      </w:pPr>
    </w:p>
    <w:p w14:paraId="438E4162" w14:textId="77777777" w:rsidR="00EF5C2E" w:rsidRDefault="00EF5C2E" w:rsidP="00996963">
      <w:pPr>
        <w:pStyle w:val="Encabezadodelatabla"/>
        <w:suppressLineNumbers w:val="0"/>
        <w:tabs>
          <w:tab w:val="left" w:pos="3780"/>
        </w:tabs>
        <w:jc w:val="both"/>
        <w:rPr>
          <w:rFonts w:ascii="Arial" w:eastAsia="Arial" w:hAnsi="Arial" w:cs="Arial"/>
          <w:noProof/>
          <w:sz w:val="22"/>
          <w:szCs w:val="22"/>
          <w:lang w:val="es-CR" w:eastAsia="es-CR"/>
        </w:rPr>
      </w:pPr>
    </w:p>
    <w:p w14:paraId="436F2BB0" w14:textId="77777777" w:rsidR="000D734D" w:rsidRPr="000D734D" w:rsidRDefault="00594CE1" w:rsidP="00996963">
      <w:pPr>
        <w:pStyle w:val="Encabezadodelatabla"/>
        <w:suppressLineNumbers w:val="0"/>
        <w:tabs>
          <w:tab w:val="left" w:pos="3780"/>
        </w:tabs>
        <w:jc w:val="both"/>
        <w:rPr>
          <w:rFonts w:ascii="Arial" w:eastAsia="Arial" w:hAnsi="Arial" w:cs="Arial"/>
          <w:noProof/>
          <w:sz w:val="22"/>
          <w:szCs w:val="22"/>
          <w:lang w:val="es-CR" w:eastAsia="es-CR"/>
        </w:rPr>
      </w:pPr>
      <w:r>
        <w:rPr>
          <w:rFonts w:ascii="Arial" w:eastAsia="Arial" w:hAnsi="Arial" w:cs="Arial"/>
          <w:noProof/>
          <w:sz w:val="22"/>
          <w:szCs w:val="22"/>
          <w:lang w:val="es-CR" w:eastAsia="es-CR"/>
        </w:rPr>
        <w:t>Gráfico 15</w:t>
      </w:r>
    </w:p>
    <w:p w14:paraId="1AEBC5AC" w14:textId="77777777" w:rsidR="000D734D" w:rsidRDefault="000D734D" w:rsidP="000D734D">
      <w:pPr>
        <w:pStyle w:val="Encabezadodelatabla"/>
        <w:suppressLineNumbers w:val="0"/>
        <w:tabs>
          <w:tab w:val="left" w:pos="3780"/>
        </w:tabs>
        <w:jc w:val="both"/>
        <w:rPr>
          <w:rFonts w:ascii="Arial" w:eastAsia="Arial" w:hAnsi="Arial" w:cs="Arial"/>
          <w:b w:val="0"/>
          <w:color w:val="000000"/>
          <w:sz w:val="22"/>
          <w:szCs w:val="22"/>
          <w:shd w:val="clear" w:color="auto" w:fill="FFFFFF"/>
          <w:lang w:val="es-CR" w:eastAsia="en-US"/>
        </w:rPr>
      </w:pPr>
    </w:p>
    <w:p w14:paraId="620B1CF1" w14:textId="77777777" w:rsid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r w:rsidRPr="00EF5C2E">
        <w:rPr>
          <w:rFonts w:eastAsia="Arial"/>
          <w:noProof/>
          <w:lang w:val="es-CR" w:eastAsia="es-CR"/>
        </w:rPr>
        <w:drawing>
          <wp:anchor distT="0" distB="0" distL="114300" distR="114300" simplePos="0" relativeHeight="251847680" behindDoc="0" locked="0" layoutInCell="1" allowOverlap="1" wp14:anchorId="79956C01" wp14:editId="745D6004">
            <wp:simplePos x="0" y="0"/>
            <wp:positionH relativeFrom="margin">
              <wp:align>left</wp:align>
            </wp:positionH>
            <wp:positionV relativeFrom="paragraph">
              <wp:posOffset>30480</wp:posOffset>
            </wp:positionV>
            <wp:extent cx="3341370" cy="2080260"/>
            <wp:effectExtent l="0" t="0" r="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4137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623200" w14:textId="77777777" w:rsidR="00EF5C2E" w:rsidRPr="00E77796"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r w:rsidRPr="00EF5C2E">
        <w:rPr>
          <w:rFonts w:ascii="Arial" w:eastAsia="Arial" w:hAnsi="Arial" w:cs="Arial"/>
          <w:b w:val="0"/>
          <w:color w:val="000000"/>
          <w:sz w:val="22"/>
          <w:szCs w:val="22"/>
          <w:shd w:val="clear" w:color="auto" w:fill="FFFFFF"/>
          <w:lang w:val="es-CR" w:eastAsia="en-US"/>
        </w:rPr>
        <w:t xml:space="preserve">Al 31 de diciembre del 2017 se registran ingresos por facturación por ¢8.214 millones y pasan a ¢8.938 millones en el mismo período del 2018, registrando un aumento del 9% (¢724 millones) producto del aumento tarifario </w:t>
      </w:r>
      <w:r w:rsidR="00FD2F83">
        <w:rPr>
          <w:rFonts w:ascii="Arial" w:eastAsia="Arial" w:hAnsi="Arial" w:cs="Arial"/>
          <w:b w:val="0"/>
          <w:color w:val="000000"/>
          <w:sz w:val="22"/>
          <w:szCs w:val="22"/>
          <w:shd w:val="clear" w:color="auto" w:fill="FFFFFF"/>
          <w:lang w:val="es-CR" w:eastAsia="en-US"/>
        </w:rPr>
        <w:t>mencionado a lo largo de este informe.</w:t>
      </w:r>
      <w:r w:rsidR="00E77796">
        <w:rPr>
          <w:rFonts w:ascii="Arial" w:eastAsia="Arial" w:hAnsi="Arial" w:cs="Arial"/>
          <w:b w:val="0"/>
          <w:color w:val="000000"/>
          <w:sz w:val="22"/>
          <w:szCs w:val="22"/>
          <w:shd w:val="clear" w:color="auto" w:fill="FFFFFF"/>
          <w:lang w:val="es-CR" w:eastAsia="en-US"/>
        </w:rPr>
        <w:t xml:space="preserve"> </w:t>
      </w:r>
      <w:r w:rsidR="00E77796">
        <w:rPr>
          <w:rFonts w:ascii="Arial" w:hAnsi="Arial" w:cs="Arial"/>
          <w:b w:val="0"/>
          <w:sz w:val="22"/>
          <w:szCs w:val="22"/>
          <w:lang w:val="es-CR"/>
        </w:rPr>
        <w:t>El rubro de</w:t>
      </w:r>
      <w:r w:rsidR="00E77796" w:rsidRPr="00E77796">
        <w:rPr>
          <w:rFonts w:ascii="Arial" w:hAnsi="Arial" w:cs="Arial"/>
          <w:b w:val="0"/>
          <w:sz w:val="22"/>
          <w:szCs w:val="22"/>
          <w:lang w:val="es-CR"/>
        </w:rPr>
        <w:t xml:space="preserve"> los ingresos financieros y otr</w:t>
      </w:r>
      <w:r w:rsidR="00E77796">
        <w:rPr>
          <w:rFonts w:ascii="Arial" w:hAnsi="Arial" w:cs="Arial"/>
          <w:b w:val="0"/>
          <w:sz w:val="22"/>
          <w:szCs w:val="22"/>
          <w:lang w:val="es-CR"/>
        </w:rPr>
        <w:t>os conceptos se incrementa en ¢249</w:t>
      </w:r>
      <w:r w:rsidR="00E77796" w:rsidRPr="00E77796">
        <w:rPr>
          <w:rFonts w:ascii="Arial" w:hAnsi="Arial" w:cs="Arial"/>
          <w:b w:val="0"/>
          <w:sz w:val="22"/>
          <w:szCs w:val="22"/>
          <w:lang w:val="es-CR"/>
        </w:rPr>
        <w:t xml:space="preserve"> millones </w:t>
      </w:r>
      <w:r w:rsidR="00E77796">
        <w:rPr>
          <w:rFonts w:ascii="Arial" w:hAnsi="Arial" w:cs="Arial"/>
          <w:b w:val="0"/>
          <w:sz w:val="22"/>
          <w:szCs w:val="22"/>
          <w:lang w:val="es-CR"/>
        </w:rPr>
        <w:t>producto de</w:t>
      </w:r>
      <w:r w:rsidR="00E77796" w:rsidRPr="00E77796">
        <w:rPr>
          <w:rFonts w:ascii="Arial" w:hAnsi="Arial" w:cs="Arial"/>
          <w:b w:val="0"/>
          <w:sz w:val="22"/>
          <w:szCs w:val="22"/>
          <w:lang w:val="es-CR"/>
        </w:rPr>
        <w:t xml:space="preserve"> la implementación de la nueva Política Contable para el registro de las donaciones que establece que las donaciones se deben diferir en el período de la vida útil de los activos recibidos, por tanto, se contabilizan originalmente</w:t>
      </w:r>
      <w:r w:rsidR="00E77796" w:rsidRPr="00E77796">
        <w:rPr>
          <w:rFonts w:ascii="Arial" w:hAnsi="Arial" w:cs="Arial"/>
          <w:b w:val="0"/>
          <w:color w:val="FF0000"/>
        </w:rPr>
        <w:t xml:space="preserve"> </w:t>
      </w:r>
      <w:r w:rsidR="00E77796" w:rsidRPr="00E77796">
        <w:rPr>
          <w:rFonts w:ascii="Arial" w:hAnsi="Arial" w:cs="Arial"/>
          <w:b w:val="0"/>
          <w:sz w:val="22"/>
          <w:szCs w:val="22"/>
          <w:lang w:val="es-CR"/>
        </w:rPr>
        <w:t>como un pasivo diferido y se amortizan conforme se realizan.</w:t>
      </w:r>
    </w:p>
    <w:p w14:paraId="55250BC8" w14:textId="77777777" w:rsidR="00EF5C2E" w:rsidRP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p>
    <w:p w14:paraId="0941D313" w14:textId="77777777" w:rsid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p>
    <w:p w14:paraId="3D4B2418" w14:textId="77777777" w:rsidR="00E77796" w:rsidRDefault="00E77796"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p>
    <w:p w14:paraId="06B47C4C" w14:textId="77777777" w:rsidR="00BA3B81" w:rsidRDefault="00BA3B81" w:rsidP="00BA3B81">
      <w:pPr>
        <w:pStyle w:val="Encabezadodelatabla"/>
        <w:tabs>
          <w:tab w:val="left" w:pos="3780"/>
        </w:tabs>
        <w:jc w:val="right"/>
        <w:rPr>
          <w:rFonts w:ascii="Arial" w:eastAsia="Arial" w:hAnsi="Arial" w:cs="Arial"/>
          <w:b w:val="0"/>
          <w:color w:val="000000"/>
          <w:sz w:val="22"/>
          <w:szCs w:val="22"/>
          <w:shd w:val="clear" w:color="auto" w:fill="FFFFFF"/>
          <w:lang w:val="es-CR" w:eastAsia="en-US"/>
        </w:rPr>
      </w:pPr>
      <w:r>
        <w:rPr>
          <w:rFonts w:ascii="Arial" w:eastAsia="Arial" w:hAnsi="Arial" w:cs="Arial"/>
          <w:b w:val="0"/>
          <w:color w:val="000000"/>
          <w:sz w:val="22"/>
          <w:szCs w:val="22"/>
          <w:shd w:val="clear" w:color="auto" w:fill="FFFFFF"/>
          <w:lang w:val="es-CR" w:eastAsia="en-US"/>
        </w:rPr>
        <w:t>28</w:t>
      </w:r>
    </w:p>
    <w:p w14:paraId="55111F56" w14:textId="77777777" w:rsidR="00EF5C2E" w:rsidRPr="00EF5C2E" w:rsidRDefault="00FD2F83"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r w:rsidRPr="00FD2F83">
        <w:rPr>
          <w:rFonts w:ascii="Arial" w:eastAsia="Arial" w:hAnsi="Arial" w:cs="Arial"/>
          <w:b w:val="0"/>
          <w:color w:val="000000"/>
          <w:sz w:val="22"/>
          <w:szCs w:val="22"/>
          <w:shd w:val="clear" w:color="auto" w:fill="FFFFFF"/>
          <w:lang w:val="es-CR" w:eastAsia="en-US"/>
        </w:rPr>
        <w:lastRenderedPageBreak/>
        <w:t>Los Costos Directos Administrativos y Operativos suman ¢11.516 millones al 31 de diciembre del 2017 y ¢9.678 millones para el mismo período del 2018, lo que representa una disminución de ¢1.838 millones (16%), originado primordialmente por una disminución en la depreciación revaluada, específicamente en las cuentas de Gastos Depreciación Revaluada Acueducto Línea de Conducción por ¢221 millones, Gastos de Depreciación Revaluada Acueducto Línea de Distribución por ¢2.745 millones; así como el aumentar y disminuir de otras partidas, para un neto de ¢1.838 millones.</w:t>
      </w:r>
    </w:p>
    <w:p w14:paraId="0CEC1B22" w14:textId="77777777" w:rsidR="00EF5C2E" w:rsidRP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r w:rsidRPr="00EF5C2E">
        <w:rPr>
          <w:rFonts w:ascii="Arial" w:eastAsia="Arial" w:hAnsi="Arial" w:cs="Arial"/>
          <w:b w:val="0"/>
          <w:color w:val="000000"/>
          <w:sz w:val="22"/>
          <w:szCs w:val="22"/>
          <w:shd w:val="clear" w:color="auto" w:fill="FFFFFF"/>
          <w:lang w:val="es-CR" w:eastAsia="en-US"/>
        </w:rPr>
        <w:t>Para el 31 de diciembre del 2017, se muestra una pérdida bruta de ¢2.854 millones, mientras que, para diciembre del 2018, se obtuvo una utilidad bruta de ¢78 millones, mostrando una recuperación de ¢2.932 millones más de un 100%, originado por la disminución de los costos directos por ¢1.838 millones, al crecimiento en los ingresos totales</w:t>
      </w:r>
      <w:r w:rsidR="00FD2F83">
        <w:rPr>
          <w:rFonts w:ascii="Arial" w:eastAsia="Arial" w:hAnsi="Arial" w:cs="Arial"/>
          <w:b w:val="0"/>
          <w:color w:val="000000"/>
          <w:sz w:val="22"/>
          <w:szCs w:val="22"/>
          <w:shd w:val="clear" w:color="auto" w:fill="FFFFFF"/>
          <w:lang w:val="es-CR" w:eastAsia="en-US"/>
        </w:rPr>
        <w:t xml:space="preserve"> de ¢1.095 millones derivado del aumento</w:t>
      </w:r>
      <w:r w:rsidRPr="00EF5C2E">
        <w:rPr>
          <w:rFonts w:ascii="Arial" w:eastAsia="Arial" w:hAnsi="Arial" w:cs="Arial"/>
          <w:b w:val="0"/>
          <w:color w:val="000000"/>
          <w:sz w:val="22"/>
          <w:szCs w:val="22"/>
          <w:shd w:val="clear" w:color="auto" w:fill="FFFFFF"/>
          <w:lang w:val="es-CR" w:eastAsia="en-US"/>
        </w:rPr>
        <w:t xml:space="preserve"> tarifario </w:t>
      </w:r>
      <w:r w:rsidR="00FD2F83">
        <w:rPr>
          <w:rFonts w:ascii="Arial" w:eastAsia="Arial" w:hAnsi="Arial" w:cs="Arial"/>
          <w:b w:val="0"/>
          <w:color w:val="000000"/>
          <w:sz w:val="22"/>
          <w:szCs w:val="22"/>
          <w:shd w:val="clear" w:color="auto" w:fill="FFFFFF"/>
          <w:lang w:val="es-CR" w:eastAsia="en-US"/>
        </w:rPr>
        <w:t xml:space="preserve">antes </w:t>
      </w:r>
      <w:r w:rsidRPr="00EF5C2E">
        <w:rPr>
          <w:rFonts w:ascii="Arial" w:eastAsia="Arial" w:hAnsi="Arial" w:cs="Arial"/>
          <w:b w:val="0"/>
          <w:color w:val="000000"/>
          <w:sz w:val="22"/>
          <w:szCs w:val="22"/>
          <w:shd w:val="clear" w:color="auto" w:fill="FFFFFF"/>
          <w:lang w:val="es-CR" w:eastAsia="en-US"/>
        </w:rPr>
        <w:t>m</w:t>
      </w:r>
      <w:r w:rsidR="00FD2F83">
        <w:rPr>
          <w:rFonts w:ascii="Arial" w:eastAsia="Arial" w:hAnsi="Arial" w:cs="Arial"/>
          <w:b w:val="0"/>
          <w:color w:val="000000"/>
          <w:sz w:val="22"/>
          <w:szCs w:val="22"/>
          <w:shd w:val="clear" w:color="auto" w:fill="FFFFFF"/>
          <w:lang w:val="es-CR" w:eastAsia="en-US"/>
        </w:rPr>
        <w:t>encionado</w:t>
      </w:r>
      <w:r w:rsidRPr="00EF5C2E">
        <w:rPr>
          <w:rFonts w:ascii="Arial" w:eastAsia="Arial" w:hAnsi="Arial" w:cs="Arial"/>
          <w:b w:val="0"/>
          <w:color w:val="000000"/>
          <w:sz w:val="22"/>
          <w:szCs w:val="22"/>
          <w:shd w:val="clear" w:color="auto" w:fill="FFFFFF"/>
          <w:lang w:val="es-CR" w:eastAsia="en-US"/>
        </w:rPr>
        <w:t>.</w:t>
      </w:r>
    </w:p>
    <w:p w14:paraId="58D9A89D" w14:textId="77777777" w:rsidR="00EF5C2E" w:rsidRP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r w:rsidRPr="00EF5C2E">
        <w:rPr>
          <w:rFonts w:ascii="Arial" w:eastAsia="Arial" w:hAnsi="Arial" w:cs="Arial"/>
          <w:b w:val="0"/>
          <w:color w:val="000000"/>
          <w:sz w:val="22"/>
          <w:szCs w:val="22"/>
          <w:shd w:val="clear" w:color="auto" w:fill="FFFFFF"/>
          <w:lang w:val="es-CR" w:eastAsia="en-US"/>
        </w:rPr>
        <w:t xml:space="preserve"> </w:t>
      </w:r>
    </w:p>
    <w:p w14:paraId="312670E5" w14:textId="77777777" w:rsidR="00EF5C2E" w:rsidRP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r w:rsidRPr="00EF5C2E">
        <w:rPr>
          <w:rFonts w:ascii="Arial" w:eastAsia="Arial" w:hAnsi="Arial" w:cs="Arial"/>
          <w:b w:val="0"/>
          <w:color w:val="000000"/>
          <w:sz w:val="22"/>
          <w:szCs w:val="22"/>
          <w:shd w:val="clear" w:color="auto" w:fill="FFFFFF"/>
          <w:lang w:val="es-CR" w:eastAsia="en-US"/>
        </w:rPr>
        <w:t xml:space="preserve">Los costos indirectos y financieros presentan un aumento neto de ¢731 millones, ya que pasan de ¢4.112 millones al 31 de diciembre del 2017 a ¢4.843 millones en el 2018, los movimientos en esta sección son: </w:t>
      </w:r>
    </w:p>
    <w:p w14:paraId="2AC5BD36" w14:textId="77777777" w:rsidR="00EF5C2E" w:rsidRP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p>
    <w:p w14:paraId="7EF8870C" w14:textId="77777777" w:rsidR="00EF5C2E" w:rsidRPr="00EF5C2E" w:rsidRDefault="00EF5C2E" w:rsidP="00594CE1">
      <w:pPr>
        <w:pStyle w:val="Encabezadodelatabla"/>
        <w:numPr>
          <w:ilvl w:val="0"/>
          <w:numId w:val="43"/>
        </w:numPr>
        <w:tabs>
          <w:tab w:val="left" w:pos="3780"/>
        </w:tabs>
        <w:jc w:val="both"/>
        <w:rPr>
          <w:rFonts w:ascii="Arial" w:eastAsia="Arial" w:hAnsi="Arial" w:cs="Arial"/>
          <w:b w:val="0"/>
          <w:color w:val="000000"/>
          <w:sz w:val="22"/>
          <w:szCs w:val="22"/>
          <w:shd w:val="clear" w:color="auto" w:fill="FFFFFF"/>
          <w:lang w:val="es-CR" w:eastAsia="en-US"/>
        </w:rPr>
      </w:pPr>
      <w:r w:rsidRPr="00EF5C2E">
        <w:rPr>
          <w:rFonts w:ascii="Arial" w:eastAsia="Arial" w:hAnsi="Arial" w:cs="Arial"/>
          <w:b w:val="0"/>
          <w:color w:val="000000"/>
          <w:sz w:val="22"/>
          <w:szCs w:val="22"/>
          <w:shd w:val="clear" w:color="auto" w:fill="FFFFFF"/>
          <w:lang w:val="es-CR" w:eastAsia="en-US"/>
        </w:rPr>
        <w:t>Costos indirectos distribuidos desde la Sede:  para el 2018</w:t>
      </w:r>
      <w:r w:rsidR="00FD2F83">
        <w:rPr>
          <w:rFonts w:ascii="Arial" w:eastAsia="Arial" w:hAnsi="Arial" w:cs="Arial"/>
          <w:b w:val="0"/>
          <w:color w:val="000000"/>
          <w:sz w:val="22"/>
          <w:szCs w:val="22"/>
          <w:shd w:val="clear" w:color="auto" w:fill="FFFFFF"/>
          <w:lang w:val="es-CR" w:eastAsia="en-US"/>
        </w:rPr>
        <w:t xml:space="preserve"> presentan un incremento de ¢397</w:t>
      </w:r>
      <w:r w:rsidRPr="00EF5C2E">
        <w:rPr>
          <w:rFonts w:ascii="Arial" w:eastAsia="Arial" w:hAnsi="Arial" w:cs="Arial"/>
          <w:b w:val="0"/>
          <w:color w:val="000000"/>
          <w:sz w:val="22"/>
          <w:szCs w:val="22"/>
          <w:shd w:val="clear" w:color="auto" w:fill="FFFFFF"/>
          <w:lang w:val="es-CR" w:eastAsia="en-US"/>
        </w:rPr>
        <w:t xml:space="preserve"> millones. La dep</w:t>
      </w:r>
      <w:r w:rsidR="00FD2F83">
        <w:rPr>
          <w:rFonts w:ascii="Arial" w:eastAsia="Arial" w:hAnsi="Arial" w:cs="Arial"/>
          <w:b w:val="0"/>
          <w:color w:val="000000"/>
          <w:sz w:val="22"/>
          <w:szCs w:val="22"/>
          <w:shd w:val="clear" w:color="auto" w:fill="FFFFFF"/>
          <w:lang w:val="es-CR" w:eastAsia="en-US"/>
        </w:rPr>
        <w:t>reciación indirecta crece en ¢18</w:t>
      </w:r>
      <w:r w:rsidRPr="00EF5C2E">
        <w:rPr>
          <w:rFonts w:ascii="Arial" w:eastAsia="Arial" w:hAnsi="Arial" w:cs="Arial"/>
          <w:b w:val="0"/>
          <w:color w:val="000000"/>
          <w:sz w:val="22"/>
          <w:szCs w:val="22"/>
          <w:shd w:val="clear" w:color="auto" w:fill="FFFFFF"/>
          <w:lang w:val="es-CR" w:eastAsia="en-US"/>
        </w:rPr>
        <w:t xml:space="preserve"> millones para el periodo 2018.</w:t>
      </w:r>
    </w:p>
    <w:p w14:paraId="1F61CDAC" w14:textId="77777777" w:rsidR="00EF5C2E" w:rsidRP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p>
    <w:p w14:paraId="061C1222" w14:textId="77777777" w:rsidR="00EF5C2E" w:rsidRPr="00EF5C2E" w:rsidRDefault="00EF5C2E" w:rsidP="00594CE1">
      <w:pPr>
        <w:pStyle w:val="Encabezadodelatabla"/>
        <w:numPr>
          <w:ilvl w:val="0"/>
          <w:numId w:val="43"/>
        </w:numPr>
        <w:tabs>
          <w:tab w:val="left" w:pos="3780"/>
        </w:tabs>
        <w:jc w:val="both"/>
        <w:rPr>
          <w:rFonts w:ascii="Arial" w:eastAsia="Arial" w:hAnsi="Arial" w:cs="Arial"/>
          <w:b w:val="0"/>
          <w:color w:val="000000"/>
          <w:sz w:val="22"/>
          <w:szCs w:val="22"/>
          <w:shd w:val="clear" w:color="auto" w:fill="FFFFFF"/>
          <w:lang w:val="es-CR" w:eastAsia="en-US"/>
        </w:rPr>
      </w:pPr>
      <w:r w:rsidRPr="00EF5C2E">
        <w:rPr>
          <w:rFonts w:ascii="Arial" w:eastAsia="Arial" w:hAnsi="Arial" w:cs="Arial"/>
          <w:b w:val="0"/>
          <w:color w:val="000000"/>
          <w:sz w:val="22"/>
          <w:szCs w:val="22"/>
          <w:shd w:val="clear" w:color="auto" w:fill="FFFFFF"/>
          <w:lang w:val="es-CR" w:eastAsia="en-US"/>
        </w:rPr>
        <w:t xml:space="preserve">Sección Financiera: Los gastos por diferencial cambiario ascienden a ¢272 millones en el 2017, para el periodo 2018 fue de ¢588 millones ocasionando un incremento en egresos por ¢316 millones (116%). </w:t>
      </w:r>
    </w:p>
    <w:p w14:paraId="7DF0633C" w14:textId="77777777" w:rsidR="00EF5C2E" w:rsidRP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p>
    <w:p w14:paraId="0A1C008B" w14:textId="77777777" w:rsidR="000D734D" w:rsidRPr="00EF5C2E" w:rsidRDefault="00EF5C2E" w:rsidP="00EF5C2E">
      <w:pPr>
        <w:pStyle w:val="Encabezadodelatabla"/>
        <w:tabs>
          <w:tab w:val="left" w:pos="3780"/>
        </w:tabs>
        <w:jc w:val="both"/>
        <w:rPr>
          <w:rFonts w:ascii="Arial" w:eastAsia="Arial" w:hAnsi="Arial" w:cs="Arial"/>
          <w:b w:val="0"/>
          <w:color w:val="000000"/>
          <w:sz w:val="22"/>
          <w:szCs w:val="22"/>
          <w:shd w:val="clear" w:color="auto" w:fill="FFFFFF"/>
          <w:lang w:val="es-CR" w:eastAsia="en-US"/>
        </w:rPr>
      </w:pPr>
      <w:r w:rsidRPr="00EF5C2E">
        <w:rPr>
          <w:rFonts w:ascii="Arial" w:eastAsia="Arial" w:hAnsi="Arial" w:cs="Arial"/>
          <w:b w:val="0"/>
          <w:color w:val="000000"/>
          <w:sz w:val="22"/>
          <w:szCs w:val="22"/>
          <w:shd w:val="clear" w:color="auto" w:fill="FFFFFF"/>
          <w:lang w:val="es-CR" w:eastAsia="en-US"/>
        </w:rPr>
        <w:t>Finalmente, para los periodos analizados al 31 de diciembre 2017-2018 se muestran pérdidas que van de ¢6.96</w:t>
      </w:r>
      <w:r w:rsidR="00FD2F83">
        <w:rPr>
          <w:rFonts w:ascii="Arial" w:eastAsia="Arial" w:hAnsi="Arial" w:cs="Arial"/>
          <w:b w:val="0"/>
          <w:color w:val="000000"/>
          <w:sz w:val="22"/>
          <w:szCs w:val="22"/>
          <w:shd w:val="clear" w:color="auto" w:fill="FFFFFF"/>
          <w:lang w:val="es-CR" w:eastAsia="en-US"/>
        </w:rPr>
        <w:t>6 millones para el 2017 a ¢4.765</w:t>
      </w:r>
      <w:r w:rsidRPr="00EF5C2E">
        <w:rPr>
          <w:rFonts w:ascii="Arial" w:eastAsia="Arial" w:hAnsi="Arial" w:cs="Arial"/>
          <w:b w:val="0"/>
          <w:color w:val="000000"/>
          <w:sz w:val="22"/>
          <w:szCs w:val="22"/>
          <w:shd w:val="clear" w:color="auto" w:fill="FFFFFF"/>
          <w:lang w:val="es-CR" w:eastAsia="en-US"/>
        </w:rPr>
        <w:t xml:space="preserve"> millones </w:t>
      </w:r>
      <w:r w:rsidR="00FD2F83">
        <w:rPr>
          <w:rFonts w:ascii="Arial" w:eastAsia="Arial" w:hAnsi="Arial" w:cs="Arial"/>
          <w:b w:val="0"/>
          <w:color w:val="000000"/>
          <w:sz w:val="22"/>
          <w:szCs w:val="22"/>
          <w:shd w:val="clear" w:color="auto" w:fill="FFFFFF"/>
          <w:lang w:val="es-CR" w:eastAsia="en-US"/>
        </w:rPr>
        <w:t xml:space="preserve">en el </w:t>
      </w:r>
      <w:r w:rsidRPr="00EF5C2E">
        <w:rPr>
          <w:rFonts w:ascii="Arial" w:eastAsia="Arial" w:hAnsi="Arial" w:cs="Arial"/>
          <w:b w:val="0"/>
          <w:color w:val="000000"/>
          <w:sz w:val="22"/>
          <w:szCs w:val="22"/>
          <w:shd w:val="clear" w:color="auto" w:fill="FFFFFF"/>
          <w:lang w:val="es-CR" w:eastAsia="en-US"/>
        </w:rPr>
        <w:t>2018, como se observa en la tabla anterior ex</w:t>
      </w:r>
      <w:r w:rsidR="00FD2F83">
        <w:rPr>
          <w:rFonts w:ascii="Arial" w:eastAsia="Arial" w:hAnsi="Arial" w:cs="Arial"/>
          <w:b w:val="0"/>
          <w:color w:val="000000"/>
          <w:sz w:val="22"/>
          <w:szCs w:val="22"/>
          <w:shd w:val="clear" w:color="auto" w:fill="FFFFFF"/>
          <w:lang w:val="es-CR" w:eastAsia="en-US"/>
        </w:rPr>
        <w:t xml:space="preserve">iste una recuperación de ¢2.201 </w:t>
      </w:r>
      <w:r w:rsidRPr="00EF5C2E">
        <w:rPr>
          <w:rFonts w:ascii="Arial" w:eastAsia="Arial" w:hAnsi="Arial" w:cs="Arial"/>
          <w:b w:val="0"/>
          <w:color w:val="000000"/>
          <w:sz w:val="22"/>
          <w:szCs w:val="22"/>
          <w:shd w:val="clear" w:color="auto" w:fill="FFFFFF"/>
          <w:lang w:val="es-CR" w:eastAsia="en-US"/>
        </w:rPr>
        <w:t>millones entre periodos, originados por la disminución de los costos directos y el incremento en el total de ingresos.</w:t>
      </w:r>
    </w:p>
    <w:p w14:paraId="6F4D7ED4" w14:textId="77777777" w:rsidR="00EF5C2E" w:rsidRDefault="00EF5C2E" w:rsidP="00EF5C2E">
      <w:pPr>
        <w:pStyle w:val="Standard"/>
        <w:tabs>
          <w:tab w:val="left" w:pos="3780"/>
        </w:tabs>
        <w:jc w:val="both"/>
        <w:rPr>
          <w:rFonts w:ascii="Arial" w:hAnsi="Arial" w:cs="Arial"/>
          <w:b/>
          <w:sz w:val="22"/>
          <w:szCs w:val="22"/>
        </w:rPr>
      </w:pPr>
    </w:p>
    <w:p w14:paraId="0B077CE9" w14:textId="77777777" w:rsidR="00EF5C2E" w:rsidRDefault="00EF5C2E" w:rsidP="00996963">
      <w:pPr>
        <w:pStyle w:val="Standard"/>
        <w:tabs>
          <w:tab w:val="left" w:pos="3780"/>
        </w:tabs>
        <w:jc w:val="both"/>
        <w:rPr>
          <w:rFonts w:ascii="Arial" w:hAnsi="Arial" w:cs="Arial"/>
          <w:b/>
          <w:sz w:val="22"/>
          <w:szCs w:val="22"/>
        </w:rPr>
      </w:pPr>
    </w:p>
    <w:p w14:paraId="394FADB8" w14:textId="77777777" w:rsidR="00EF5C2E" w:rsidRDefault="00EF5C2E" w:rsidP="00996963">
      <w:pPr>
        <w:pStyle w:val="Standard"/>
        <w:tabs>
          <w:tab w:val="left" w:pos="3780"/>
        </w:tabs>
        <w:jc w:val="both"/>
        <w:rPr>
          <w:rFonts w:ascii="Arial" w:hAnsi="Arial" w:cs="Arial"/>
          <w:b/>
          <w:sz w:val="22"/>
          <w:szCs w:val="22"/>
        </w:rPr>
      </w:pPr>
    </w:p>
    <w:p w14:paraId="40C832BA" w14:textId="77777777" w:rsidR="00EF5C2E" w:rsidRDefault="00EF5C2E" w:rsidP="00996963">
      <w:pPr>
        <w:pStyle w:val="Standard"/>
        <w:tabs>
          <w:tab w:val="left" w:pos="3780"/>
        </w:tabs>
        <w:jc w:val="both"/>
        <w:rPr>
          <w:rFonts w:ascii="Arial" w:hAnsi="Arial" w:cs="Arial"/>
          <w:b/>
          <w:sz w:val="22"/>
          <w:szCs w:val="22"/>
        </w:rPr>
      </w:pPr>
    </w:p>
    <w:p w14:paraId="5B4EDCF7" w14:textId="77777777" w:rsidR="00EF5C2E" w:rsidRDefault="00EF5C2E" w:rsidP="00996963">
      <w:pPr>
        <w:pStyle w:val="Standard"/>
        <w:tabs>
          <w:tab w:val="left" w:pos="3780"/>
        </w:tabs>
        <w:jc w:val="both"/>
        <w:rPr>
          <w:rFonts w:ascii="Arial" w:hAnsi="Arial" w:cs="Arial"/>
          <w:b/>
          <w:sz w:val="22"/>
          <w:szCs w:val="22"/>
        </w:rPr>
      </w:pPr>
    </w:p>
    <w:p w14:paraId="7B7FCFEF" w14:textId="77777777" w:rsidR="00EF5C2E" w:rsidRDefault="00EF5C2E" w:rsidP="00996963">
      <w:pPr>
        <w:pStyle w:val="Standard"/>
        <w:tabs>
          <w:tab w:val="left" w:pos="3780"/>
        </w:tabs>
        <w:jc w:val="both"/>
        <w:rPr>
          <w:rFonts w:ascii="Arial" w:hAnsi="Arial" w:cs="Arial"/>
          <w:b/>
          <w:sz w:val="22"/>
          <w:szCs w:val="22"/>
        </w:rPr>
      </w:pPr>
    </w:p>
    <w:p w14:paraId="71590CB7" w14:textId="77777777" w:rsidR="00EF5C2E" w:rsidRDefault="00EF5C2E" w:rsidP="00996963">
      <w:pPr>
        <w:pStyle w:val="Standard"/>
        <w:tabs>
          <w:tab w:val="left" w:pos="3780"/>
        </w:tabs>
        <w:jc w:val="both"/>
        <w:rPr>
          <w:rFonts w:ascii="Arial" w:hAnsi="Arial" w:cs="Arial"/>
          <w:b/>
          <w:sz w:val="22"/>
          <w:szCs w:val="22"/>
        </w:rPr>
      </w:pPr>
    </w:p>
    <w:p w14:paraId="0049C34B" w14:textId="77777777" w:rsidR="00EF5C2E" w:rsidRDefault="00EF5C2E" w:rsidP="00996963">
      <w:pPr>
        <w:pStyle w:val="Standard"/>
        <w:tabs>
          <w:tab w:val="left" w:pos="3780"/>
        </w:tabs>
        <w:jc w:val="both"/>
        <w:rPr>
          <w:rFonts w:ascii="Arial" w:hAnsi="Arial" w:cs="Arial"/>
          <w:b/>
          <w:sz w:val="22"/>
          <w:szCs w:val="22"/>
        </w:rPr>
      </w:pPr>
    </w:p>
    <w:p w14:paraId="28D5BCA2" w14:textId="77777777" w:rsidR="00EF5C2E" w:rsidRDefault="00EF5C2E" w:rsidP="00996963">
      <w:pPr>
        <w:pStyle w:val="Standard"/>
        <w:tabs>
          <w:tab w:val="left" w:pos="3780"/>
        </w:tabs>
        <w:jc w:val="both"/>
        <w:rPr>
          <w:rFonts w:ascii="Arial" w:hAnsi="Arial" w:cs="Arial"/>
          <w:b/>
          <w:sz w:val="22"/>
          <w:szCs w:val="22"/>
        </w:rPr>
      </w:pPr>
    </w:p>
    <w:p w14:paraId="2AB26906" w14:textId="77777777" w:rsidR="00EF5C2E" w:rsidRDefault="00EF5C2E" w:rsidP="00996963">
      <w:pPr>
        <w:pStyle w:val="Standard"/>
        <w:tabs>
          <w:tab w:val="left" w:pos="3780"/>
        </w:tabs>
        <w:jc w:val="both"/>
        <w:rPr>
          <w:rFonts w:ascii="Arial" w:hAnsi="Arial" w:cs="Arial"/>
          <w:b/>
          <w:sz w:val="22"/>
          <w:szCs w:val="22"/>
        </w:rPr>
      </w:pPr>
    </w:p>
    <w:p w14:paraId="1973C8B3" w14:textId="77777777" w:rsidR="00EF5C2E" w:rsidRDefault="00EF5C2E" w:rsidP="00996963">
      <w:pPr>
        <w:pStyle w:val="Standard"/>
        <w:tabs>
          <w:tab w:val="left" w:pos="3780"/>
        </w:tabs>
        <w:jc w:val="both"/>
        <w:rPr>
          <w:rFonts w:ascii="Arial" w:hAnsi="Arial" w:cs="Arial"/>
          <w:b/>
          <w:sz w:val="22"/>
          <w:szCs w:val="22"/>
        </w:rPr>
      </w:pPr>
    </w:p>
    <w:p w14:paraId="09E73361" w14:textId="77777777" w:rsidR="00EF5C2E" w:rsidRDefault="00EF5C2E" w:rsidP="00996963">
      <w:pPr>
        <w:pStyle w:val="Standard"/>
        <w:tabs>
          <w:tab w:val="left" w:pos="3780"/>
        </w:tabs>
        <w:jc w:val="both"/>
        <w:rPr>
          <w:rFonts w:ascii="Arial" w:hAnsi="Arial" w:cs="Arial"/>
          <w:b/>
          <w:sz w:val="22"/>
          <w:szCs w:val="22"/>
        </w:rPr>
      </w:pPr>
    </w:p>
    <w:p w14:paraId="05AAB422" w14:textId="77777777" w:rsidR="00BA3B81" w:rsidRDefault="00BA3B81" w:rsidP="00996963">
      <w:pPr>
        <w:pStyle w:val="Standard"/>
        <w:tabs>
          <w:tab w:val="left" w:pos="3780"/>
        </w:tabs>
        <w:jc w:val="both"/>
        <w:rPr>
          <w:rFonts w:ascii="Arial" w:hAnsi="Arial" w:cs="Arial"/>
          <w:b/>
          <w:sz w:val="22"/>
          <w:szCs w:val="22"/>
        </w:rPr>
      </w:pPr>
    </w:p>
    <w:p w14:paraId="00CD300E" w14:textId="77777777" w:rsidR="00BA3B81" w:rsidRDefault="00BA3B81" w:rsidP="00996963">
      <w:pPr>
        <w:pStyle w:val="Standard"/>
        <w:tabs>
          <w:tab w:val="left" w:pos="3780"/>
        </w:tabs>
        <w:jc w:val="both"/>
        <w:rPr>
          <w:rFonts w:ascii="Arial" w:hAnsi="Arial" w:cs="Arial"/>
          <w:b/>
          <w:sz w:val="22"/>
          <w:szCs w:val="22"/>
        </w:rPr>
      </w:pPr>
    </w:p>
    <w:p w14:paraId="5AB9494C" w14:textId="77777777" w:rsidR="00BA3B81" w:rsidRDefault="00BA3B81" w:rsidP="00996963">
      <w:pPr>
        <w:pStyle w:val="Standard"/>
        <w:tabs>
          <w:tab w:val="left" w:pos="3780"/>
        </w:tabs>
        <w:jc w:val="both"/>
        <w:rPr>
          <w:rFonts w:ascii="Arial" w:hAnsi="Arial" w:cs="Arial"/>
          <w:b/>
          <w:sz w:val="22"/>
          <w:szCs w:val="22"/>
        </w:rPr>
      </w:pPr>
    </w:p>
    <w:p w14:paraId="113DDC01" w14:textId="77777777" w:rsidR="00BA3B81" w:rsidRDefault="00BA3B81" w:rsidP="00996963">
      <w:pPr>
        <w:pStyle w:val="Standard"/>
        <w:tabs>
          <w:tab w:val="left" w:pos="3780"/>
        </w:tabs>
        <w:jc w:val="both"/>
        <w:rPr>
          <w:rFonts w:ascii="Arial" w:hAnsi="Arial" w:cs="Arial"/>
          <w:b/>
          <w:sz w:val="22"/>
          <w:szCs w:val="22"/>
        </w:rPr>
      </w:pPr>
    </w:p>
    <w:p w14:paraId="0D2DC6D1" w14:textId="77777777" w:rsidR="00BA3B81" w:rsidRDefault="00BA3B81" w:rsidP="00996963">
      <w:pPr>
        <w:pStyle w:val="Standard"/>
        <w:tabs>
          <w:tab w:val="left" w:pos="3780"/>
        </w:tabs>
        <w:jc w:val="both"/>
        <w:rPr>
          <w:rFonts w:ascii="Arial" w:hAnsi="Arial" w:cs="Arial"/>
          <w:b/>
          <w:sz w:val="22"/>
          <w:szCs w:val="22"/>
        </w:rPr>
      </w:pPr>
    </w:p>
    <w:p w14:paraId="3030F919" w14:textId="77777777" w:rsidR="00BA3B81" w:rsidRPr="00BA3B81" w:rsidRDefault="00BA3B81" w:rsidP="00BA3B81">
      <w:pPr>
        <w:pStyle w:val="Standard"/>
        <w:tabs>
          <w:tab w:val="left" w:pos="3780"/>
        </w:tabs>
        <w:jc w:val="right"/>
        <w:rPr>
          <w:rFonts w:ascii="Arial" w:hAnsi="Arial" w:cs="Arial"/>
          <w:sz w:val="22"/>
          <w:szCs w:val="22"/>
        </w:rPr>
      </w:pPr>
      <w:r w:rsidRPr="00BA3B81">
        <w:rPr>
          <w:rFonts w:ascii="Arial" w:hAnsi="Arial" w:cs="Arial"/>
          <w:sz w:val="22"/>
          <w:szCs w:val="22"/>
        </w:rPr>
        <w:t>29</w:t>
      </w:r>
    </w:p>
    <w:p w14:paraId="61D0FE42" w14:textId="77777777" w:rsidR="00996963" w:rsidRDefault="00594CE1" w:rsidP="00996963">
      <w:pPr>
        <w:pStyle w:val="Standard"/>
        <w:tabs>
          <w:tab w:val="left" w:pos="3780"/>
        </w:tabs>
        <w:jc w:val="both"/>
      </w:pPr>
      <w:r w:rsidRPr="00EF5C2E">
        <w:rPr>
          <w:noProof/>
          <w:lang w:val="es-CR" w:eastAsia="es-CR"/>
        </w:rPr>
        <w:lastRenderedPageBreak/>
        <w:drawing>
          <wp:anchor distT="0" distB="0" distL="114300" distR="114300" simplePos="0" relativeHeight="251848704" behindDoc="0" locked="0" layoutInCell="1" allowOverlap="1" wp14:anchorId="3D396AD2" wp14:editId="5EC3CD62">
            <wp:simplePos x="0" y="0"/>
            <wp:positionH relativeFrom="margin">
              <wp:posOffset>76200</wp:posOffset>
            </wp:positionH>
            <wp:positionV relativeFrom="paragraph">
              <wp:posOffset>266065</wp:posOffset>
            </wp:positionV>
            <wp:extent cx="5295900" cy="3255010"/>
            <wp:effectExtent l="0" t="0" r="0" b="2540"/>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5900" cy="3255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6963" w:rsidRPr="004E2914">
        <w:rPr>
          <w:rFonts w:ascii="Arial" w:hAnsi="Arial" w:cs="Arial"/>
          <w:b/>
          <w:sz w:val="22"/>
          <w:szCs w:val="22"/>
        </w:rPr>
        <w:t>Región Pacífico Centra</w:t>
      </w:r>
      <w:r w:rsidR="00996963">
        <w:rPr>
          <w:rFonts w:ascii="Arial" w:hAnsi="Arial" w:cs="Arial"/>
          <w:b/>
          <w:sz w:val="22"/>
          <w:szCs w:val="22"/>
        </w:rPr>
        <w:t>l</w:t>
      </w:r>
    </w:p>
    <w:p w14:paraId="29B72370" w14:textId="77777777" w:rsidR="00996963" w:rsidRDefault="00996963" w:rsidP="00996963">
      <w:pPr>
        <w:pStyle w:val="Standard"/>
        <w:tabs>
          <w:tab w:val="left" w:pos="3780"/>
        </w:tabs>
        <w:jc w:val="both"/>
      </w:pPr>
    </w:p>
    <w:p w14:paraId="71D74405" w14:textId="77777777" w:rsidR="00996963" w:rsidRDefault="00996963" w:rsidP="00996963">
      <w:pPr>
        <w:pStyle w:val="Standard"/>
        <w:tabs>
          <w:tab w:val="left" w:pos="3780"/>
        </w:tabs>
        <w:jc w:val="both"/>
      </w:pPr>
    </w:p>
    <w:p w14:paraId="6A5966D4" w14:textId="77777777" w:rsidR="00996963" w:rsidRPr="004E2914" w:rsidRDefault="00EF5C2E" w:rsidP="004E2914">
      <w:pPr>
        <w:pStyle w:val="Encabezadodelatabla"/>
        <w:suppressLineNumbers w:val="0"/>
        <w:tabs>
          <w:tab w:val="left" w:pos="3780"/>
        </w:tabs>
        <w:jc w:val="both"/>
        <w:rPr>
          <w:rFonts w:ascii="Arial" w:eastAsia="Arial" w:hAnsi="Arial" w:cs="Arial"/>
          <w:noProof/>
          <w:sz w:val="22"/>
          <w:szCs w:val="22"/>
          <w:lang w:val="es-CR" w:eastAsia="es-CR"/>
        </w:rPr>
      </w:pPr>
      <w:r>
        <w:rPr>
          <w:rFonts w:ascii="Arial" w:eastAsia="Arial" w:hAnsi="Arial" w:cs="Arial"/>
          <w:noProof/>
          <w:sz w:val="22"/>
          <w:szCs w:val="22"/>
          <w:lang w:val="es-CR" w:eastAsia="es-CR"/>
        </w:rPr>
        <w:t xml:space="preserve">                                                                 </w:t>
      </w:r>
      <w:r w:rsidR="00B41B9C">
        <w:rPr>
          <w:rFonts w:ascii="Arial" w:eastAsia="Arial" w:hAnsi="Arial" w:cs="Arial"/>
          <w:noProof/>
          <w:sz w:val="22"/>
          <w:szCs w:val="22"/>
          <w:lang w:val="es-CR" w:eastAsia="es-CR"/>
        </w:rPr>
        <w:t xml:space="preserve">      </w:t>
      </w:r>
      <w:r w:rsidR="00594CE1">
        <w:rPr>
          <w:rFonts w:ascii="Arial" w:eastAsia="Arial" w:hAnsi="Arial" w:cs="Arial"/>
          <w:noProof/>
          <w:sz w:val="22"/>
          <w:szCs w:val="22"/>
          <w:lang w:val="es-CR" w:eastAsia="es-CR"/>
        </w:rPr>
        <w:t>Gráfico 16</w:t>
      </w:r>
    </w:p>
    <w:p w14:paraId="02CACC54" w14:textId="77777777" w:rsidR="00996963" w:rsidRDefault="00EF5C2E" w:rsidP="00996963">
      <w:pPr>
        <w:pStyle w:val="NormalWeb"/>
        <w:spacing w:before="0" w:line="102" w:lineRule="atLeast"/>
      </w:pPr>
      <w:r w:rsidRPr="00EF5C2E">
        <w:rPr>
          <w:noProof/>
          <w:lang w:val="es-CR" w:eastAsia="es-CR"/>
        </w:rPr>
        <w:drawing>
          <wp:anchor distT="0" distB="0" distL="114300" distR="114300" simplePos="0" relativeHeight="251849728" behindDoc="0" locked="0" layoutInCell="1" allowOverlap="1" wp14:anchorId="18AB134D" wp14:editId="76103D9F">
            <wp:simplePos x="0" y="0"/>
            <wp:positionH relativeFrom="column">
              <wp:posOffset>2715895</wp:posOffset>
            </wp:positionH>
            <wp:positionV relativeFrom="paragraph">
              <wp:posOffset>177165</wp:posOffset>
            </wp:positionV>
            <wp:extent cx="3251835" cy="2026920"/>
            <wp:effectExtent l="0" t="0" r="5715"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51835" cy="2026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0D68EA" w14:textId="77777777" w:rsidR="00EF5C2E" w:rsidRPr="00A87E31" w:rsidRDefault="00EF5C2E" w:rsidP="00EF5C2E">
      <w:pPr>
        <w:spacing w:line="240" w:lineRule="auto"/>
        <w:rPr>
          <w:rFonts w:ascii="Arial" w:hAnsi="Arial" w:cs="Arial"/>
        </w:rPr>
      </w:pPr>
      <w:r w:rsidRPr="00EF5C2E">
        <w:rPr>
          <w:rFonts w:ascii="Arial" w:hAnsi="Arial" w:cs="Arial"/>
        </w:rPr>
        <w:t xml:space="preserve">Al 31 de </w:t>
      </w:r>
      <w:r>
        <w:rPr>
          <w:rFonts w:ascii="Arial" w:hAnsi="Arial" w:cs="Arial"/>
        </w:rPr>
        <w:t>d</w:t>
      </w:r>
      <w:r w:rsidRPr="00EF5C2E">
        <w:rPr>
          <w:rFonts w:ascii="Arial" w:hAnsi="Arial" w:cs="Arial"/>
        </w:rPr>
        <w:t>iciembre del 2017 se registran ingresos por facturación por ¢13.602 millones y pasan a ¢14.624 millones en el mismo período del 2018, registrándose un crecimiento de un 8% (¢1.022 millones), producto del aumento en la</w:t>
      </w:r>
      <w:r>
        <w:rPr>
          <w:rFonts w:ascii="Arial" w:hAnsi="Arial" w:cs="Arial"/>
        </w:rPr>
        <w:t>s</w:t>
      </w:r>
      <w:r w:rsidRPr="00EF5C2E">
        <w:rPr>
          <w:rFonts w:ascii="Arial" w:hAnsi="Arial" w:cs="Arial"/>
        </w:rPr>
        <w:t xml:space="preserve"> tarifas, mencionado anteriormente.  </w:t>
      </w:r>
      <w:r w:rsidRPr="00A87E31">
        <w:rPr>
          <w:rFonts w:ascii="Arial" w:hAnsi="Arial" w:cs="Arial"/>
        </w:rPr>
        <w:t>Por otra parte, los ingresos financieros y otros conceptos se incrementan ¢260 millones ocasionado por la implementación de la nueva Política Contable para el registro de las donaciones que establece que las donaciones se deben diferir en el período de la vida útil de los activos recibidos, por tanto, se contabilizan originalmente como un pasivo diferido y se amortizan conforme se realizan.</w:t>
      </w:r>
    </w:p>
    <w:p w14:paraId="527EADE7" w14:textId="77777777" w:rsidR="00EF5C2E" w:rsidRDefault="00EF5C2E" w:rsidP="00EF5C2E">
      <w:pPr>
        <w:spacing w:line="240" w:lineRule="auto"/>
        <w:rPr>
          <w:rFonts w:ascii="Arial" w:hAnsi="Arial" w:cs="Arial"/>
        </w:rPr>
      </w:pPr>
      <w:r w:rsidRPr="00EF5C2E">
        <w:rPr>
          <w:rFonts w:ascii="Arial" w:hAnsi="Arial" w:cs="Arial"/>
        </w:rPr>
        <w:t xml:space="preserve">Los costos directos administrativos y operativos suman ¢9.705 millones al 31 diciembre del 2017 y ¢9.761 millones para el mismo período del 2018, lo que representa un crecimiento de ¢56 millones (1%).  </w:t>
      </w:r>
    </w:p>
    <w:p w14:paraId="60E2600A" w14:textId="77777777" w:rsidR="00BA3B81" w:rsidRPr="00EF5C2E" w:rsidRDefault="00BA3B81" w:rsidP="00BA3B81">
      <w:pPr>
        <w:spacing w:line="240" w:lineRule="auto"/>
        <w:jc w:val="right"/>
        <w:rPr>
          <w:rFonts w:ascii="Arial" w:hAnsi="Arial" w:cs="Arial"/>
        </w:rPr>
      </w:pPr>
      <w:r>
        <w:rPr>
          <w:rFonts w:ascii="Arial" w:hAnsi="Arial" w:cs="Arial"/>
        </w:rPr>
        <w:t>30</w:t>
      </w:r>
    </w:p>
    <w:p w14:paraId="678B59C4" w14:textId="77777777" w:rsidR="00EF5C2E" w:rsidRPr="00EF5C2E" w:rsidRDefault="00EF5C2E" w:rsidP="00EF5C2E">
      <w:pPr>
        <w:spacing w:line="240" w:lineRule="auto"/>
        <w:rPr>
          <w:rFonts w:ascii="Arial" w:hAnsi="Arial" w:cs="Arial"/>
        </w:rPr>
      </w:pPr>
      <w:r w:rsidRPr="00EF5C2E">
        <w:rPr>
          <w:rFonts w:ascii="Arial" w:hAnsi="Arial" w:cs="Arial"/>
        </w:rPr>
        <w:lastRenderedPageBreak/>
        <w:t>La Utilidad Bruta de Operación fue positiva en los dos períodos analizados, la misma aumenta en ¢1.348 millones en el período del 2018, lo que equivale a un 30%.</w:t>
      </w:r>
    </w:p>
    <w:p w14:paraId="67FF90E3" w14:textId="77777777" w:rsidR="00EF5C2E" w:rsidRPr="00EF5C2E" w:rsidRDefault="00EF5C2E" w:rsidP="00EF5C2E">
      <w:pPr>
        <w:spacing w:line="240" w:lineRule="auto"/>
        <w:rPr>
          <w:rFonts w:ascii="Arial" w:hAnsi="Arial" w:cs="Arial"/>
        </w:rPr>
      </w:pPr>
      <w:r w:rsidRPr="00EF5C2E">
        <w:rPr>
          <w:rFonts w:ascii="Arial" w:hAnsi="Arial" w:cs="Arial"/>
        </w:rPr>
        <w:t xml:space="preserve">Los costos indirectos y financieros presentan un aumento neto de aumento de ¢641 millones, ya que pasan de ¢4.576 millones en el 2017 a ¢5.217 millones en el 2018, los movimientos en esta sección son: </w:t>
      </w:r>
    </w:p>
    <w:p w14:paraId="526648C1" w14:textId="77777777" w:rsidR="00EF5C2E" w:rsidRPr="00EF5C2E" w:rsidRDefault="00EF5C2E" w:rsidP="00594CE1">
      <w:pPr>
        <w:pStyle w:val="Prrafodelista"/>
        <w:numPr>
          <w:ilvl w:val="0"/>
          <w:numId w:val="44"/>
        </w:numPr>
        <w:spacing w:line="240" w:lineRule="auto"/>
        <w:rPr>
          <w:rFonts w:ascii="Arial" w:hAnsi="Arial" w:cs="Arial"/>
        </w:rPr>
      </w:pPr>
      <w:r w:rsidRPr="00EF5C2E">
        <w:rPr>
          <w:rFonts w:ascii="Arial" w:hAnsi="Arial" w:cs="Arial"/>
        </w:rPr>
        <w:t>Costos indirectos distribuidos desde la Sede: para el 2018 presentan un aumento de ¢317 millones. La depreciación indirecta muestra ¢12 millones de más en el periodo 2018.</w:t>
      </w:r>
    </w:p>
    <w:p w14:paraId="3901EA5B" w14:textId="77777777" w:rsidR="00EF5C2E" w:rsidRPr="00EF5C2E" w:rsidRDefault="00EF5C2E" w:rsidP="00594CE1">
      <w:pPr>
        <w:pStyle w:val="Prrafodelista"/>
        <w:numPr>
          <w:ilvl w:val="0"/>
          <w:numId w:val="44"/>
        </w:numPr>
        <w:spacing w:line="240" w:lineRule="auto"/>
        <w:rPr>
          <w:rFonts w:ascii="Arial" w:hAnsi="Arial" w:cs="Arial"/>
        </w:rPr>
      </w:pPr>
      <w:r w:rsidRPr="00EF5C2E">
        <w:rPr>
          <w:rFonts w:ascii="Arial" w:hAnsi="Arial" w:cs="Arial"/>
        </w:rPr>
        <w:t xml:space="preserve">Sección Financiera: Los gastos por diferencial cambiario ascienden a ¢283 millones en el 2017, en el 2018 son de ¢595 millones ocasionando un incremento en egresos por ¢312 millones (110%), producto de la variación del tipo de cambio del dólar.   </w:t>
      </w:r>
    </w:p>
    <w:p w14:paraId="19888186" w14:textId="77777777" w:rsidR="00EF5C2E" w:rsidRPr="00EF5C2E" w:rsidRDefault="00EF5C2E" w:rsidP="00EF5C2E">
      <w:pPr>
        <w:spacing w:line="240" w:lineRule="auto"/>
        <w:rPr>
          <w:rFonts w:ascii="Arial" w:hAnsi="Arial" w:cs="Arial"/>
        </w:rPr>
      </w:pPr>
      <w:r w:rsidRPr="00EF5C2E">
        <w:rPr>
          <w:rFonts w:ascii="Arial" w:hAnsi="Arial" w:cs="Arial"/>
        </w:rPr>
        <w:t xml:space="preserve">Finalmente, al 31 de diciembre del 2018 se refleja una Utilidad Neta de ¢562 millones ya que, los ingresos son por ¢15.541 millones, con un crecimiento de un 10% y los costos totales suman 14,978 millones para un aumento del 4%. </w:t>
      </w:r>
    </w:p>
    <w:p w14:paraId="24DDAAB4" w14:textId="77777777" w:rsidR="00996963" w:rsidRDefault="00EF5C2E" w:rsidP="00EF5C2E">
      <w:pPr>
        <w:spacing w:line="240" w:lineRule="auto"/>
        <w:rPr>
          <w:rFonts w:ascii="Arial" w:hAnsi="Arial" w:cs="Arial"/>
        </w:rPr>
      </w:pPr>
      <w:r w:rsidRPr="00EF5C2E">
        <w:rPr>
          <w:rFonts w:ascii="Arial" w:hAnsi="Arial" w:cs="Arial"/>
        </w:rPr>
        <w:t>La Utilidad registrada para este período ¢562 millones es superior a la mostrada en el 2017 que más bien presenta una pérdida de ¢144 millones, la recuperación es del 489% o sea (¢707 millones).   El bajo crecimiento en los costos y el incremento en los ingresos hacen que</w:t>
      </w:r>
      <w:r>
        <w:rPr>
          <w:rFonts w:ascii="Arial" w:hAnsi="Arial" w:cs="Arial"/>
        </w:rPr>
        <w:t>,</w:t>
      </w:r>
      <w:r w:rsidRPr="00EF5C2E">
        <w:rPr>
          <w:rFonts w:ascii="Arial" w:hAnsi="Arial" w:cs="Arial"/>
        </w:rPr>
        <w:t xml:space="preserve"> de las Regiones de la Subgerencia del Sistemas Periféricos, esta sea la región con mejores resultados financieros en este período.</w:t>
      </w:r>
    </w:p>
    <w:p w14:paraId="66EA77A2" w14:textId="77777777" w:rsidR="00996963" w:rsidRDefault="00996963" w:rsidP="00996963">
      <w:pPr>
        <w:pStyle w:val="Standard"/>
        <w:suppressAutoHyphens w:val="0"/>
        <w:spacing w:before="100"/>
        <w:jc w:val="both"/>
      </w:pPr>
      <w:r>
        <w:rPr>
          <w:rFonts w:ascii="Arial" w:hAnsi="Arial" w:cs="Arial"/>
          <w:b/>
          <w:sz w:val="22"/>
          <w:szCs w:val="22"/>
        </w:rPr>
        <w:t>Región Chorotega</w:t>
      </w:r>
      <w:r>
        <w:rPr>
          <w:rFonts w:cs="Arial"/>
          <w:b/>
          <w:bCs/>
        </w:rPr>
        <w:t xml:space="preserve">         </w:t>
      </w:r>
    </w:p>
    <w:p w14:paraId="4BFC5D30" w14:textId="77777777" w:rsidR="00996963" w:rsidRDefault="00996963" w:rsidP="00996963">
      <w:pPr>
        <w:pStyle w:val="Standard"/>
        <w:suppressAutoHyphens w:val="0"/>
        <w:spacing w:before="100"/>
        <w:jc w:val="both"/>
      </w:pPr>
    </w:p>
    <w:p w14:paraId="2B8FE463" w14:textId="77777777" w:rsidR="00996963" w:rsidRDefault="00B41B9C" w:rsidP="00996963">
      <w:pPr>
        <w:pStyle w:val="Standard"/>
        <w:suppressAutoHyphens w:val="0"/>
        <w:spacing w:before="100"/>
        <w:jc w:val="both"/>
      </w:pPr>
      <w:r w:rsidRPr="00B41B9C">
        <w:rPr>
          <w:noProof/>
          <w:lang w:val="es-CR" w:eastAsia="es-CR"/>
        </w:rPr>
        <w:drawing>
          <wp:anchor distT="0" distB="0" distL="114300" distR="114300" simplePos="0" relativeHeight="251850752" behindDoc="0" locked="0" layoutInCell="1" allowOverlap="1" wp14:anchorId="6818F5FE" wp14:editId="20A20D95">
            <wp:simplePos x="0" y="0"/>
            <wp:positionH relativeFrom="margin">
              <wp:posOffset>459105</wp:posOffset>
            </wp:positionH>
            <wp:positionV relativeFrom="paragraph">
              <wp:posOffset>67310</wp:posOffset>
            </wp:positionV>
            <wp:extent cx="4770120" cy="2727960"/>
            <wp:effectExtent l="0" t="0" r="0" b="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70120" cy="2727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397DA9" w14:textId="77777777" w:rsidR="00996963" w:rsidRDefault="00996963" w:rsidP="00996963">
      <w:pPr>
        <w:pStyle w:val="Standard"/>
        <w:suppressAutoHyphens w:val="0"/>
        <w:spacing w:before="100"/>
        <w:jc w:val="both"/>
        <w:rPr>
          <w:rFonts w:ascii="Arial" w:hAnsi="Arial"/>
          <w:b/>
          <w:bCs/>
          <w:sz w:val="22"/>
          <w:szCs w:val="22"/>
        </w:rPr>
      </w:pPr>
    </w:p>
    <w:p w14:paraId="1A96921D" w14:textId="77777777" w:rsidR="00996963" w:rsidRDefault="00996963" w:rsidP="00996963">
      <w:pPr>
        <w:pStyle w:val="Standard"/>
        <w:suppressAutoHyphens w:val="0"/>
        <w:spacing w:before="100"/>
        <w:jc w:val="both"/>
        <w:rPr>
          <w:rFonts w:ascii="Arial" w:hAnsi="Arial"/>
          <w:b/>
          <w:bCs/>
          <w:sz w:val="22"/>
          <w:szCs w:val="22"/>
        </w:rPr>
      </w:pPr>
    </w:p>
    <w:p w14:paraId="1D703496" w14:textId="77777777" w:rsidR="00996963" w:rsidRDefault="00996963" w:rsidP="00996963">
      <w:pPr>
        <w:pStyle w:val="Standard"/>
        <w:suppressAutoHyphens w:val="0"/>
        <w:spacing w:before="100"/>
        <w:jc w:val="both"/>
        <w:rPr>
          <w:rFonts w:ascii="Arial" w:hAnsi="Arial"/>
          <w:b/>
          <w:bCs/>
          <w:sz w:val="22"/>
          <w:szCs w:val="22"/>
        </w:rPr>
      </w:pPr>
    </w:p>
    <w:p w14:paraId="749E0DFE" w14:textId="77777777" w:rsidR="00996963" w:rsidRDefault="00996963" w:rsidP="00996963">
      <w:pPr>
        <w:pStyle w:val="Standard"/>
        <w:suppressAutoHyphens w:val="0"/>
        <w:spacing w:before="100"/>
        <w:jc w:val="both"/>
        <w:rPr>
          <w:rFonts w:ascii="Arial" w:hAnsi="Arial"/>
          <w:b/>
          <w:bCs/>
          <w:sz w:val="22"/>
          <w:szCs w:val="22"/>
        </w:rPr>
      </w:pPr>
    </w:p>
    <w:p w14:paraId="6E8BCF9E" w14:textId="77777777" w:rsidR="00996963" w:rsidRDefault="00996963" w:rsidP="00996963">
      <w:pPr>
        <w:pStyle w:val="Standard"/>
        <w:suppressAutoHyphens w:val="0"/>
        <w:spacing w:before="100"/>
        <w:jc w:val="both"/>
        <w:rPr>
          <w:rFonts w:ascii="Arial" w:hAnsi="Arial"/>
          <w:b/>
          <w:bCs/>
          <w:sz w:val="22"/>
          <w:szCs w:val="22"/>
        </w:rPr>
      </w:pPr>
    </w:p>
    <w:p w14:paraId="04A8D477" w14:textId="77777777" w:rsidR="00996963" w:rsidRDefault="00996963" w:rsidP="00996963">
      <w:pPr>
        <w:pStyle w:val="Standard"/>
        <w:suppressAutoHyphens w:val="0"/>
        <w:spacing w:before="100"/>
        <w:jc w:val="both"/>
        <w:rPr>
          <w:rFonts w:ascii="Arial" w:hAnsi="Arial"/>
          <w:b/>
          <w:bCs/>
          <w:sz w:val="22"/>
          <w:szCs w:val="22"/>
        </w:rPr>
      </w:pPr>
    </w:p>
    <w:p w14:paraId="5BEB9AA4" w14:textId="77777777" w:rsidR="00996963" w:rsidRDefault="00996963" w:rsidP="00996963">
      <w:pPr>
        <w:pStyle w:val="Standard"/>
        <w:suppressAutoHyphens w:val="0"/>
        <w:spacing w:before="100"/>
        <w:jc w:val="both"/>
        <w:rPr>
          <w:rFonts w:ascii="Arial" w:hAnsi="Arial"/>
          <w:b/>
          <w:bCs/>
          <w:sz w:val="22"/>
          <w:szCs w:val="22"/>
        </w:rPr>
      </w:pPr>
    </w:p>
    <w:p w14:paraId="7898755E" w14:textId="77777777" w:rsidR="00996963" w:rsidRDefault="00996963" w:rsidP="00996963">
      <w:pPr>
        <w:pStyle w:val="Standard"/>
        <w:suppressAutoHyphens w:val="0"/>
        <w:spacing w:before="100"/>
        <w:jc w:val="both"/>
        <w:rPr>
          <w:rFonts w:ascii="Arial" w:hAnsi="Arial"/>
          <w:b/>
          <w:bCs/>
          <w:sz w:val="22"/>
          <w:szCs w:val="22"/>
        </w:rPr>
      </w:pPr>
    </w:p>
    <w:p w14:paraId="0BDB97A7" w14:textId="77777777" w:rsidR="00996963" w:rsidRDefault="00996963" w:rsidP="00996963">
      <w:pPr>
        <w:pStyle w:val="Standard"/>
        <w:suppressAutoHyphens w:val="0"/>
        <w:spacing w:before="100"/>
        <w:jc w:val="both"/>
        <w:rPr>
          <w:rFonts w:ascii="Arial" w:hAnsi="Arial"/>
          <w:b/>
          <w:bCs/>
          <w:sz w:val="22"/>
          <w:szCs w:val="22"/>
        </w:rPr>
      </w:pPr>
    </w:p>
    <w:p w14:paraId="0255A8EE" w14:textId="77777777" w:rsidR="00996963" w:rsidRDefault="00996963" w:rsidP="00996963">
      <w:pPr>
        <w:pStyle w:val="Standard"/>
        <w:suppressAutoHyphens w:val="0"/>
        <w:spacing w:before="100"/>
        <w:jc w:val="both"/>
        <w:rPr>
          <w:rFonts w:ascii="Arial" w:hAnsi="Arial"/>
          <w:b/>
          <w:bCs/>
          <w:sz w:val="22"/>
          <w:szCs w:val="22"/>
        </w:rPr>
      </w:pPr>
    </w:p>
    <w:p w14:paraId="2B3E5BF9" w14:textId="77777777" w:rsidR="00996963" w:rsidRDefault="00996963" w:rsidP="00996963">
      <w:pPr>
        <w:pStyle w:val="Standard"/>
        <w:suppressAutoHyphens w:val="0"/>
        <w:spacing w:before="100"/>
        <w:jc w:val="both"/>
        <w:rPr>
          <w:rFonts w:ascii="Arial" w:hAnsi="Arial"/>
          <w:b/>
          <w:bCs/>
          <w:sz w:val="22"/>
          <w:szCs w:val="22"/>
        </w:rPr>
      </w:pPr>
    </w:p>
    <w:p w14:paraId="125B2B11" w14:textId="77777777" w:rsidR="006D3F29" w:rsidRDefault="006D3F29" w:rsidP="00996963">
      <w:pPr>
        <w:pStyle w:val="Standard"/>
        <w:suppressAutoHyphens w:val="0"/>
        <w:spacing w:before="100"/>
        <w:jc w:val="both"/>
        <w:rPr>
          <w:rFonts w:ascii="Arial" w:hAnsi="Arial"/>
          <w:b/>
          <w:bCs/>
          <w:sz w:val="22"/>
          <w:szCs w:val="22"/>
        </w:rPr>
      </w:pPr>
    </w:p>
    <w:p w14:paraId="4E8FD9DB" w14:textId="77777777" w:rsidR="00B41B9C" w:rsidRPr="00BA3B81" w:rsidRDefault="00BA3B81" w:rsidP="00BA3B81">
      <w:pPr>
        <w:pStyle w:val="Standard"/>
        <w:suppressAutoHyphens w:val="0"/>
        <w:spacing w:before="100"/>
        <w:jc w:val="right"/>
        <w:rPr>
          <w:rFonts w:ascii="Arial" w:hAnsi="Arial"/>
          <w:bCs/>
          <w:sz w:val="22"/>
          <w:szCs w:val="22"/>
        </w:rPr>
      </w:pPr>
      <w:r w:rsidRPr="00BA3B81">
        <w:rPr>
          <w:rFonts w:ascii="Arial" w:hAnsi="Arial"/>
          <w:bCs/>
          <w:sz w:val="22"/>
          <w:szCs w:val="22"/>
        </w:rPr>
        <w:t>31</w:t>
      </w:r>
    </w:p>
    <w:p w14:paraId="7FA5869D" w14:textId="77777777" w:rsidR="00996963" w:rsidRDefault="00594CE1" w:rsidP="00996963">
      <w:pPr>
        <w:pStyle w:val="Standard"/>
        <w:suppressAutoHyphens w:val="0"/>
        <w:spacing w:before="100"/>
        <w:jc w:val="both"/>
        <w:rPr>
          <w:rFonts w:ascii="Arial" w:hAnsi="Arial"/>
          <w:b/>
          <w:bCs/>
          <w:sz w:val="22"/>
          <w:szCs w:val="22"/>
        </w:rPr>
      </w:pPr>
      <w:r>
        <w:rPr>
          <w:rFonts w:ascii="Arial" w:hAnsi="Arial"/>
          <w:b/>
          <w:bCs/>
          <w:sz w:val="22"/>
          <w:szCs w:val="22"/>
        </w:rPr>
        <w:lastRenderedPageBreak/>
        <w:t>Gráfico 17</w:t>
      </w:r>
    </w:p>
    <w:p w14:paraId="0C2A2FFF" w14:textId="77777777" w:rsidR="006D3F29" w:rsidRDefault="00E77796" w:rsidP="006D3F29">
      <w:pPr>
        <w:pStyle w:val="Standard"/>
        <w:rPr>
          <w:rFonts w:ascii="Arial" w:eastAsiaTheme="minorHAnsi" w:hAnsi="Arial" w:cs="Arial"/>
          <w:color w:val="FF3333"/>
          <w:kern w:val="0"/>
          <w:sz w:val="22"/>
          <w:szCs w:val="22"/>
          <w:lang w:val="es-CR" w:eastAsia="en-US"/>
        </w:rPr>
      </w:pPr>
      <w:r w:rsidRPr="00B41B9C">
        <w:rPr>
          <w:rFonts w:eastAsiaTheme="minorHAnsi"/>
          <w:noProof/>
          <w:lang w:val="es-CR" w:eastAsia="es-CR"/>
        </w:rPr>
        <w:drawing>
          <wp:anchor distT="0" distB="0" distL="114300" distR="114300" simplePos="0" relativeHeight="251851776" behindDoc="0" locked="0" layoutInCell="1" allowOverlap="1" wp14:anchorId="03EFCDB9" wp14:editId="21B3D55A">
            <wp:simplePos x="0" y="0"/>
            <wp:positionH relativeFrom="margin">
              <wp:posOffset>-205740</wp:posOffset>
            </wp:positionH>
            <wp:positionV relativeFrom="paragraph">
              <wp:posOffset>60325</wp:posOffset>
            </wp:positionV>
            <wp:extent cx="3329940" cy="2118360"/>
            <wp:effectExtent l="0" t="0" r="3810" b="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29940" cy="2118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7FFFF6" w14:textId="77777777" w:rsidR="00E77796" w:rsidRDefault="00E77796" w:rsidP="00B41B9C">
      <w:pPr>
        <w:pStyle w:val="Standard"/>
        <w:jc w:val="both"/>
        <w:rPr>
          <w:rFonts w:ascii="Arial" w:eastAsiaTheme="minorHAnsi" w:hAnsi="Arial" w:cs="Arial"/>
          <w:kern w:val="0"/>
          <w:sz w:val="22"/>
          <w:szCs w:val="22"/>
          <w:lang w:val="es-CR" w:eastAsia="en-US"/>
        </w:rPr>
      </w:pPr>
    </w:p>
    <w:p w14:paraId="4E8B4E4B" w14:textId="77777777" w:rsidR="00B41B9C" w:rsidRPr="00B41B9C" w:rsidRDefault="00FD2F83" w:rsidP="00B41B9C">
      <w:pPr>
        <w:pStyle w:val="Standard"/>
        <w:jc w:val="both"/>
        <w:rPr>
          <w:rFonts w:ascii="Arial" w:eastAsiaTheme="minorHAnsi" w:hAnsi="Arial" w:cs="Arial"/>
          <w:kern w:val="0"/>
          <w:sz w:val="22"/>
          <w:szCs w:val="22"/>
          <w:lang w:val="es-CR" w:eastAsia="en-US"/>
        </w:rPr>
      </w:pPr>
      <w:r>
        <w:rPr>
          <w:rFonts w:ascii="Arial" w:eastAsiaTheme="minorHAnsi" w:hAnsi="Arial" w:cs="Arial"/>
          <w:kern w:val="0"/>
          <w:sz w:val="22"/>
          <w:szCs w:val="22"/>
          <w:lang w:val="es-CR" w:eastAsia="en-US"/>
        </w:rPr>
        <w:t>Al 31 de d</w:t>
      </w:r>
      <w:r w:rsidR="00B41B9C" w:rsidRPr="00B41B9C">
        <w:rPr>
          <w:rFonts w:ascii="Arial" w:eastAsiaTheme="minorHAnsi" w:hAnsi="Arial" w:cs="Arial"/>
          <w:kern w:val="0"/>
          <w:sz w:val="22"/>
          <w:szCs w:val="22"/>
          <w:lang w:val="es-CR" w:eastAsia="en-US"/>
        </w:rPr>
        <w:t>iciembre del 2017 se registran ingresos por facturación por ¢11.825 millones y pasan a ¢13.742 millones en el mismo período del 2018, registr</w:t>
      </w:r>
      <w:r w:rsidR="00E77796">
        <w:rPr>
          <w:rFonts w:ascii="Arial" w:eastAsiaTheme="minorHAnsi" w:hAnsi="Arial" w:cs="Arial"/>
          <w:kern w:val="0"/>
          <w:sz w:val="22"/>
          <w:szCs w:val="22"/>
          <w:lang w:val="es-CR" w:eastAsia="en-US"/>
        </w:rPr>
        <w:t>ándose un crecimiento de un 16%</w:t>
      </w:r>
      <w:r w:rsidR="00B41B9C" w:rsidRPr="00B41B9C">
        <w:rPr>
          <w:rFonts w:ascii="Arial" w:eastAsiaTheme="minorHAnsi" w:hAnsi="Arial" w:cs="Arial"/>
          <w:kern w:val="0"/>
          <w:sz w:val="22"/>
          <w:szCs w:val="22"/>
          <w:lang w:val="es-CR" w:eastAsia="en-US"/>
        </w:rPr>
        <w:t>(¢1.917 millones), prod</w:t>
      </w:r>
      <w:r w:rsidR="00E77796">
        <w:rPr>
          <w:rFonts w:ascii="Arial" w:eastAsiaTheme="minorHAnsi" w:hAnsi="Arial" w:cs="Arial"/>
          <w:kern w:val="0"/>
          <w:sz w:val="22"/>
          <w:szCs w:val="22"/>
          <w:lang w:val="es-CR" w:eastAsia="en-US"/>
        </w:rPr>
        <w:t>ucto del aumento en las tarifas, mencionado anteriormente.</w:t>
      </w:r>
      <w:r w:rsidR="00B41B9C" w:rsidRPr="00B41B9C">
        <w:rPr>
          <w:rFonts w:ascii="Arial" w:eastAsiaTheme="minorHAnsi" w:hAnsi="Arial" w:cs="Arial"/>
          <w:kern w:val="0"/>
          <w:sz w:val="22"/>
          <w:szCs w:val="22"/>
          <w:lang w:val="es-CR" w:eastAsia="en-US"/>
        </w:rPr>
        <w:t xml:space="preserve"> Por otra parte, los ingresos financieros y otros conceptos se incrementan ¢260 millones ocasionado por la implementación de la nueva Política Contable para el registro de las donaciones</w:t>
      </w:r>
      <w:r>
        <w:rPr>
          <w:rFonts w:ascii="Arial" w:eastAsiaTheme="minorHAnsi" w:hAnsi="Arial" w:cs="Arial"/>
          <w:kern w:val="0"/>
          <w:sz w:val="22"/>
          <w:szCs w:val="22"/>
          <w:lang w:val="es-CR" w:eastAsia="en-US"/>
        </w:rPr>
        <w:t xml:space="preserve"> y otros</w:t>
      </w:r>
      <w:r w:rsidR="00B41B9C" w:rsidRPr="00B41B9C">
        <w:rPr>
          <w:rFonts w:ascii="Arial" w:eastAsiaTheme="minorHAnsi" w:hAnsi="Arial" w:cs="Arial"/>
          <w:kern w:val="0"/>
          <w:sz w:val="22"/>
          <w:szCs w:val="22"/>
          <w:lang w:val="es-CR" w:eastAsia="en-US"/>
        </w:rPr>
        <w:t>.</w:t>
      </w:r>
    </w:p>
    <w:p w14:paraId="5147697D" w14:textId="77777777" w:rsidR="00B41B9C" w:rsidRPr="00B41B9C" w:rsidRDefault="00B41B9C" w:rsidP="00B41B9C">
      <w:pPr>
        <w:pStyle w:val="Standard"/>
        <w:jc w:val="both"/>
        <w:rPr>
          <w:rFonts w:ascii="Arial" w:eastAsiaTheme="minorHAnsi" w:hAnsi="Arial" w:cs="Arial"/>
          <w:kern w:val="0"/>
          <w:sz w:val="22"/>
          <w:szCs w:val="22"/>
          <w:lang w:val="es-CR" w:eastAsia="en-US"/>
        </w:rPr>
      </w:pPr>
    </w:p>
    <w:p w14:paraId="3BA6BCDF" w14:textId="77777777" w:rsidR="00B41B9C" w:rsidRPr="00B41B9C" w:rsidRDefault="00B41B9C" w:rsidP="00B41B9C">
      <w:pPr>
        <w:pStyle w:val="Standard"/>
        <w:jc w:val="both"/>
        <w:rPr>
          <w:rFonts w:ascii="Arial" w:eastAsiaTheme="minorHAnsi" w:hAnsi="Arial" w:cs="Arial"/>
          <w:kern w:val="0"/>
          <w:sz w:val="22"/>
          <w:szCs w:val="22"/>
          <w:lang w:val="es-CR" w:eastAsia="en-US"/>
        </w:rPr>
      </w:pPr>
      <w:r w:rsidRPr="00B41B9C">
        <w:rPr>
          <w:rFonts w:ascii="Arial" w:eastAsiaTheme="minorHAnsi" w:hAnsi="Arial" w:cs="Arial"/>
          <w:kern w:val="0"/>
          <w:sz w:val="22"/>
          <w:szCs w:val="22"/>
          <w:lang w:val="es-CR" w:eastAsia="en-US"/>
        </w:rPr>
        <w:t xml:space="preserve">Los costos directos administrativos y operativos suman ¢10.199 millones al 31 diciembre del 2017 y ¢10.058 millones para el mismo período del 2018, lo que representa un decrecimiento de ¢140 millones.  </w:t>
      </w:r>
    </w:p>
    <w:p w14:paraId="06A89666" w14:textId="77777777" w:rsidR="00B41B9C" w:rsidRPr="00B41B9C" w:rsidRDefault="00B41B9C" w:rsidP="00B41B9C">
      <w:pPr>
        <w:pStyle w:val="Standard"/>
        <w:jc w:val="both"/>
        <w:rPr>
          <w:rFonts w:ascii="Arial" w:eastAsiaTheme="minorHAnsi" w:hAnsi="Arial" w:cs="Arial"/>
          <w:kern w:val="0"/>
          <w:sz w:val="22"/>
          <w:szCs w:val="22"/>
          <w:lang w:val="es-CR" w:eastAsia="en-US"/>
        </w:rPr>
      </w:pPr>
    </w:p>
    <w:p w14:paraId="0C9E834D" w14:textId="77777777" w:rsidR="00B41B9C" w:rsidRPr="00B41B9C" w:rsidRDefault="00B41B9C" w:rsidP="00B41B9C">
      <w:pPr>
        <w:pStyle w:val="Standard"/>
        <w:jc w:val="both"/>
        <w:rPr>
          <w:rFonts w:ascii="Arial" w:eastAsiaTheme="minorHAnsi" w:hAnsi="Arial" w:cs="Arial"/>
          <w:kern w:val="0"/>
          <w:sz w:val="22"/>
          <w:szCs w:val="22"/>
          <w:lang w:val="es-CR" w:eastAsia="en-US"/>
        </w:rPr>
      </w:pPr>
      <w:r w:rsidRPr="00B41B9C">
        <w:rPr>
          <w:rFonts w:ascii="Arial" w:eastAsiaTheme="minorHAnsi" w:hAnsi="Arial" w:cs="Arial"/>
          <w:kern w:val="0"/>
          <w:sz w:val="22"/>
          <w:szCs w:val="22"/>
          <w:lang w:val="es-CR" w:eastAsia="en-US"/>
        </w:rPr>
        <w:t>La Utilidad Bruta de Operación fue positiva en los dos períodos analizados, y la misma crece en ¢2.449 millones para el 2018, lo que equivale a un 115%.</w:t>
      </w:r>
    </w:p>
    <w:p w14:paraId="381FD5F3" w14:textId="77777777" w:rsidR="00B41B9C" w:rsidRPr="00B41B9C" w:rsidRDefault="00B41B9C" w:rsidP="00B41B9C">
      <w:pPr>
        <w:pStyle w:val="Standard"/>
        <w:jc w:val="both"/>
        <w:rPr>
          <w:rFonts w:ascii="Arial" w:eastAsiaTheme="minorHAnsi" w:hAnsi="Arial" w:cs="Arial"/>
          <w:kern w:val="0"/>
          <w:sz w:val="22"/>
          <w:szCs w:val="22"/>
          <w:lang w:val="es-CR" w:eastAsia="en-US"/>
        </w:rPr>
      </w:pPr>
    </w:p>
    <w:p w14:paraId="385F8EDD" w14:textId="77777777" w:rsidR="00B41B9C" w:rsidRPr="00B41B9C" w:rsidRDefault="00B41B9C" w:rsidP="00B41B9C">
      <w:pPr>
        <w:pStyle w:val="Standard"/>
        <w:jc w:val="both"/>
        <w:rPr>
          <w:rFonts w:ascii="Arial" w:eastAsiaTheme="minorHAnsi" w:hAnsi="Arial" w:cs="Arial"/>
          <w:kern w:val="0"/>
          <w:sz w:val="22"/>
          <w:szCs w:val="22"/>
          <w:lang w:val="es-CR" w:eastAsia="en-US"/>
        </w:rPr>
      </w:pPr>
      <w:r w:rsidRPr="00B41B9C">
        <w:rPr>
          <w:rFonts w:ascii="Arial" w:eastAsiaTheme="minorHAnsi" w:hAnsi="Arial" w:cs="Arial"/>
          <w:kern w:val="0"/>
          <w:sz w:val="22"/>
          <w:szCs w:val="22"/>
          <w:lang w:val="es-CR" w:eastAsia="en-US"/>
        </w:rPr>
        <w:t xml:space="preserve">Los costos indirectos y financieros presentan un movimiento neto de incremento de </w:t>
      </w:r>
      <w:r w:rsidR="00FD2F83">
        <w:rPr>
          <w:rFonts w:ascii="Arial" w:eastAsiaTheme="minorHAnsi" w:hAnsi="Arial" w:cs="Arial"/>
          <w:kern w:val="0"/>
          <w:sz w:val="22"/>
          <w:szCs w:val="22"/>
          <w:lang w:val="es-CR" w:eastAsia="en-US"/>
        </w:rPr>
        <w:t>¢651</w:t>
      </w:r>
      <w:r w:rsidRPr="00B41B9C">
        <w:rPr>
          <w:rFonts w:ascii="Arial" w:eastAsiaTheme="minorHAnsi" w:hAnsi="Arial" w:cs="Arial"/>
          <w:kern w:val="0"/>
          <w:sz w:val="22"/>
          <w:szCs w:val="22"/>
          <w:lang w:val="es-CR" w:eastAsia="en-US"/>
        </w:rPr>
        <w:t xml:space="preserve"> millones (12%), ya que pasan de ¢5.</w:t>
      </w:r>
      <w:r w:rsidR="00FD2F83">
        <w:rPr>
          <w:rFonts w:ascii="Arial" w:eastAsiaTheme="minorHAnsi" w:hAnsi="Arial" w:cs="Arial"/>
          <w:kern w:val="0"/>
          <w:sz w:val="22"/>
          <w:szCs w:val="22"/>
          <w:lang w:val="es-CR" w:eastAsia="en-US"/>
        </w:rPr>
        <w:t>330 millones en el 2017 a ¢5.981</w:t>
      </w:r>
      <w:r w:rsidRPr="00B41B9C">
        <w:rPr>
          <w:rFonts w:ascii="Arial" w:eastAsiaTheme="minorHAnsi" w:hAnsi="Arial" w:cs="Arial"/>
          <w:kern w:val="0"/>
          <w:sz w:val="22"/>
          <w:szCs w:val="22"/>
          <w:lang w:val="es-CR" w:eastAsia="en-US"/>
        </w:rPr>
        <w:t xml:space="preserve"> millones en el 2018, los movimientos en esta sección son: </w:t>
      </w:r>
    </w:p>
    <w:p w14:paraId="44F887FB" w14:textId="77777777" w:rsidR="00B41B9C" w:rsidRPr="00B41B9C" w:rsidRDefault="00B41B9C" w:rsidP="00B41B9C">
      <w:pPr>
        <w:pStyle w:val="Standard"/>
        <w:jc w:val="both"/>
        <w:rPr>
          <w:rFonts w:ascii="Arial" w:eastAsiaTheme="minorHAnsi" w:hAnsi="Arial" w:cs="Arial"/>
          <w:kern w:val="0"/>
          <w:sz w:val="22"/>
          <w:szCs w:val="22"/>
          <w:lang w:val="es-CR" w:eastAsia="en-US"/>
        </w:rPr>
      </w:pPr>
    </w:p>
    <w:p w14:paraId="0D857DE8" w14:textId="77777777" w:rsidR="00B41B9C" w:rsidRPr="00B41B9C" w:rsidRDefault="00B41B9C" w:rsidP="00594CE1">
      <w:pPr>
        <w:pStyle w:val="Standard"/>
        <w:numPr>
          <w:ilvl w:val="0"/>
          <w:numId w:val="45"/>
        </w:numPr>
        <w:jc w:val="both"/>
        <w:rPr>
          <w:rFonts w:ascii="Arial" w:eastAsiaTheme="minorHAnsi" w:hAnsi="Arial" w:cs="Arial"/>
          <w:kern w:val="0"/>
          <w:sz w:val="22"/>
          <w:szCs w:val="22"/>
          <w:lang w:val="es-CR" w:eastAsia="en-US"/>
        </w:rPr>
      </w:pPr>
      <w:r w:rsidRPr="00B41B9C">
        <w:rPr>
          <w:rFonts w:ascii="Arial" w:eastAsiaTheme="minorHAnsi" w:hAnsi="Arial" w:cs="Arial"/>
          <w:kern w:val="0"/>
          <w:sz w:val="22"/>
          <w:szCs w:val="22"/>
          <w:lang w:val="es-CR" w:eastAsia="en-US"/>
        </w:rPr>
        <w:t>Costos indirectos distribuidos desde la Sede: para el 2018 presentan un incremento de ¢305 millones con respecto al período anterior y un aumento de ¢9 millones en la depreciación indirecta.</w:t>
      </w:r>
    </w:p>
    <w:p w14:paraId="553BD8F7" w14:textId="77777777" w:rsidR="00B41B9C" w:rsidRPr="00B41B9C" w:rsidRDefault="00B41B9C" w:rsidP="00B41B9C">
      <w:pPr>
        <w:pStyle w:val="Standard"/>
        <w:jc w:val="both"/>
        <w:rPr>
          <w:rFonts w:ascii="Arial" w:eastAsiaTheme="minorHAnsi" w:hAnsi="Arial" w:cs="Arial"/>
          <w:kern w:val="0"/>
          <w:sz w:val="22"/>
          <w:szCs w:val="22"/>
          <w:lang w:val="es-CR" w:eastAsia="en-US"/>
        </w:rPr>
      </w:pPr>
    </w:p>
    <w:p w14:paraId="73FF5198" w14:textId="77777777" w:rsidR="00B41B9C" w:rsidRPr="00B41B9C" w:rsidRDefault="00B41B9C" w:rsidP="00594CE1">
      <w:pPr>
        <w:pStyle w:val="Standard"/>
        <w:numPr>
          <w:ilvl w:val="0"/>
          <w:numId w:val="45"/>
        </w:numPr>
        <w:jc w:val="both"/>
        <w:rPr>
          <w:rFonts w:ascii="Arial" w:eastAsiaTheme="minorHAnsi" w:hAnsi="Arial" w:cs="Arial"/>
          <w:kern w:val="0"/>
          <w:sz w:val="22"/>
          <w:szCs w:val="22"/>
          <w:lang w:val="es-CR" w:eastAsia="en-US"/>
        </w:rPr>
      </w:pPr>
      <w:r w:rsidRPr="00B41B9C">
        <w:rPr>
          <w:rFonts w:ascii="Arial" w:eastAsiaTheme="minorHAnsi" w:hAnsi="Arial" w:cs="Arial"/>
          <w:kern w:val="0"/>
          <w:sz w:val="22"/>
          <w:szCs w:val="22"/>
          <w:lang w:val="es-CR" w:eastAsia="en-US"/>
        </w:rPr>
        <w:t>Sección Financiera:  Los Gastos por Diferencial Cambiario ascienden a ¢298 millones en el 2017 y ¢635 millones para el 2018, por lo que se registra un aumento de ¢337 millones.</w:t>
      </w:r>
    </w:p>
    <w:p w14:paraId="24EA3A91" w14:textId="77777777" w:rsidR="00B41B9C" w:rsidRPr="00B41B9C" w:rsidRDefault="00B41B9C" w:rsidP="00B41B9C">
      <w:pPr>
        <w:pStyle w:val="Standard"/>
        <w:jc w:val="both"/>
        <w:rPr>
          <w:rFonts w:ascii="Arial" w:eastAsiaTheme="minorHAnsi" w:hAnsi="Arial" w:cs="Arial"/>
          <w:kern w:val="0"/>
          <w:sz w:val="22"/>
          <w:szCs w:val="22"/>
          <w:lang w:val="es-CR" w:eastAsia="en-US"/>
        </w:rPr>
      </w:pPr>
    </w:p>
    <w:p w14:paraId="48D59A60" w14:textId="77777777" w:rsidR="006D3F29" w:rsidRPr="00B41B9C" w:rsidRDefault="00B41B9C" w:rsidP="00B41B9C">
      <w:pPr>
        <w:pStyle w:val="Standard"/>
        <w:suppressAutoHyphens w:val="0"/>
        <w:spacing w:before="100"/>
        <w:jc w:val="both"/>
        <w:rPr>
          <w:rFonts w:ascii="Arial" w:eastAsiaTheme="minorHAnsi" w:hAnsi="Arial" w:cs="Arial"/>
          <w:kern w:val="0"/>
          <w:sz w:val="22"/>
          <w:szCs w:val="22"/>
          <w:lang w:val="es-CR" w:eastAsia="en-US"/>
        </w:rPr>
      </w:pPr>
      <w:r>
        <w:rPr>
          <w:rFonts w:ascii="Arial" w:eastAsiaTheme="minorHAnsi" w:hAnsi="Arial" w:cs="Arial"/>
          <w:kern w:val="0"/>
          <w:sz w:val="22"/>
          <w:szCs w:val="22"/>
          <w:lang w:val="es-CR" w:eastAsia="en-US"/>
        </w:rPr>
        <w:t>Al</w:t>
      </w:r>
      <w:r w:rsidRPr="00B41B9C">
        <w:rPr>
          <w:rFonts w:ascii="Arial" w:eastAsiaTheme="minorHAnsi" w:hAnsi="Arial" w:cs="Arial"/>
          <w:kern w:val="0"/>
          <w:sz w:val="22"/>
          <w:szCs w:val="22"/>
          <w:lang w:val="es-CR" w:eastAsia="en-US"/>
        </w:rPr>
        <w:t xml:space="preserve"> 31 de diciembre del 2018 se refleja una Pérdida Neta de ¢1.395 millones producto de que los ingresos no son suficientes para cubrir todos los costos de la región en este período, lo anterior evidencia la necesidad de un incremento de tarifas.</w:t>
      </w:r>
    </w:p>
    <w:p w14:paraId="45903C93" w14:textId="77777777" w:rsidR="00B41B9C" w:rsidRDefault="00B41B9C" w:rsidP="00996963">
      <w:pPr>
        <w:pStyle w:val="Standard"/>
        <w:suppressAutoHyphens w:val="0"/>
        <w:spacing w:before="100"/>
        <w:jc w:val="both"/>
        <w:rPr>
          <w:rFonts w:ascii="Arial" w:hAnsi="Arial" w:cs="Arial"/>
          <w:b/>
          <w:sz w:val="22"/>
          <w:szCs w:val="22"/>
        </w:rPr>
      </w:pPr>
    </w:p>
    <w:p w14:paraId="4970BC3A" w14:textId="77777777" w:rsidR="00B41B9C" w:rsidRDefault="00B41B9C" w:rsidP="00996963">
      <w:pPr>
        <w:pStyle w:val="Standard"/>
        <w:suppressAutoHyphens w:val="0"/>
        <w:spacing w:before="100"/>
        <w:jc w:val="both"/>
        <w:rPr>
          <w:rFonts w:ascii="Arial" w:hAnsi="Arial" w:cs="Arial"/>
          <w:b/>
          <w:sz w:val="22"/>
          <w:szCs w:val="22"/>
        </w:rPr>
      </w:pPr>
    </w:p>
    <w:p w14:paraId="04F1DB56" w14:textId="77777777" w:rsidR="00B41B9C" w:rsidRDefault="00B41B9C" w:rsidP="00996963">
      <w:pPr>
        <w:pStyle w:val="Standard"/>
        <w:suppressAutoHyphens w:val="0"/>
        <w:spacing w:before="100"/>
        <w:jc w:val="both"/>
        <w:rPr>
          <w:rFonts w:ascii="Arial" w:hAnsi="Arial" w:cs="Arial"/>
          <w:b/>
          <w:sz w:val="22"/>
          <w:szCs w:val="22"/>
        </w:rPr>
      </w:pPr>
    </w:p>
    <w:p w14:paraId="4D7812B0" w14:textId="77777777" w:rsidR="00E77796" w:rsidRDefault="00E77796" w:rsidP="00996963">
      <w:pPr>
        <w:pStyle w:val="Standard"/>
        <w:suppressAutoHyphens w:val="0"/>
        <w:spacing w:before="100"/>
        <w:jc w:val="both"/>
        <w:rPr>
          <w:rFonts w:ascii="Arial" w:hAnsi="Arial" w:cs="Arial"/>
          <w:b/>
          <w:sz w:val="22"/>
          <w:szCs w:val="22"/>
        </w:rPr>
      </w:pPr>
    </w:p>
    <w:p w14:paraId="1271B65E" w14:textId="77777777" w:rsidR="00B41B9C" w:rsidRPr="00BA3B81" w:rsidRDefault="00BA3B81" w:rsidP="00BA3B81">
      <w:pPr>
        <w:pStyle w:val="Standard"/>
        <w:suppressAutoHyphens w:val="0"/>
        <w:spacing w:before="100"/>
        <w:jc w:val="right"/>
        <w:rPr>
          <w:rFonts w:ascii="Arial" w:hAnsi="Arial" w:cs="Arial"/>
          <w:sz w:val="22"/>
          <w:szCs w:val="22"/>
        </w:rPr>
      </w:pPr>
      <w:r w:rsidRPr="00BA3B81">
        <w:rPr>
          <w:rFonts w:ascii="Arial" w:hAnsi="Arial" w:cs="Arial"/>
          <w:sz w:val="22"/>
          <w:szCs w:val="22"/>
        </w:rPr>
        <w:t>32</w:t>
      </w:r>
    </w:p>
    <w:p w14:paraId="2F6DF21E" w14:textId="77777777" w:rsidR="00996963" w:rsidRDefault="00996963" w:rsidP="00996963">
      <w:pPr>
        <w:pStyle w:val="Standard"/>
        <w:suppressAutoHyphens w:val="0"/>
        <w:spacing w:before="100"/>
        <w:jc w:val="both"/>
        <w:rPr>
          <w:rFonts w:ascii="Arial" w:hAnsi="Arial" w:cs="Arial"/>
          <w:b/>
          <w:sz w:val="22"/>
          <w:szCs w:val="22"/>
        </w:rPr>
      </w:pPr>
      <w:r>
        <w:rPr>
          <w:rFonts w:ascii="Arial" w:hAnsi="Arial" w:cs="Arial"/>
          <w:b/>
          <w:sz w:val="22"/>
          <w:szCs w:val="22"/>
        </w:rPr>
        <w:lastRenderedPageBreak/>
        <w:t>Región Huetar Atlántica</w:t>
      </w:r>
    </w:p>
    <w:p w14:paraId="27EE24B1" w14:textId="77777777" w:rsidR="00B41B9C" w:rsidRDefault="00B41B9C" w:rsidP="00996963">
      <w:pPr>
        <w:pStyle w:val="Standard"/>
        <w:jc w:val="both"/>
      </w:pPr>
    </w:p>
    <w:p w14:paraId="76027230" w14:textId="77777777" w:rsidR="00996963" w:rsidRDefault="00B41B9C" w:rsidP="00996963">
      <w:pPr>
        <w:pStyle w:val="Standard"/>
        <w:jc w:val="both"/>
        <w:rPr>
          <w:noProof/>
          <w:lang w:val="es-CR" w:eastAsia="es-CR"/>
        </w:rPr>
      </w:pPr>
      <w:r w:rsidRPr="00B41B9C">
        <w:rPr>
          <w:noProof/>
          <w:lang w:val="es-CR" w:eastAsia="es-CR"/>
        </w:rPr>
        <w:drawing>
          <wp:anchor distT="0" distB="0" distL="114300" distR="114300" simplePos="0" relativeHeight="251852800" behindDoc="0" locked="0" layoutInCell="1" allowOverlap="1" wp14:anchorId="0B0C9871" wp14:editId="7D40EA1C">
            <wp:simplePos x="0" y="0"/>
            <wp:positionH relativeFrom="margin">
              <wp:posOffset>91440</wp:posOffset>
            </wp:positionH>
            <wp:positionV relativeFrom="paragraph">
              <wp:posOffset>14605</wp:posOffset>
            </wp:positionV>
            <wp:extent cx="5052060" cy="2933700"/>
            <wp:effectExtent l="0" t="0" r="0"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52060"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39E1D" w14:textId="77777777" w:rsidR="007A206B" w:rsidRPr="00996963" w:rsidRDefault="007A206B" w:rsidP="00996963">
      <w:pPr>
        <w:pStyle w:val="Standard"/>
        <w:jc w:val="both"/>
      </w:pPr>
    </w:p>
    <w:p w14:paraId="75358FFB" w14:textId="77777777" w:rsidR="006D3F29" w:rsidRDefault="00996963"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r>
        <w:rPr>
          <w:rFonts w:ascii="Arial" w:hAnsi="Arial" w:cs="Arial"/>
          <w:b/>
          <w:bCs/>
          <w:sz w:val="22"/>
          <w:szCs w:val="22"/>
        </w:rPr>
        <w:t xml:space="preserve">                                                           </w:t>
      </w:r>
    </w:p>
    <w:p w14:paraId="22E17B09" w14:textId="77777777" w:rsidR="006D3F29" w:rsidRDefault="006D3F29"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3F39BCA5" w14:textId="77777777" w:rsidR="006D3F29" w:rsidRDefault="006D3F29"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2506DE82" w14:textId="77777777" w:rsidR="006D3F29" w:rsidRDefault="006D3F29"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1392EF88" w14:textId="77777777" w:rsidR="006D3F29" w:rsidRDefault="006D3F29"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06FBE0C5" w14:textId="77777777" w:rsidR="006D3F29" w:rsidRDefault="006D3F29"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07EA8710" w14:textId="77777777" w:rsidR="006D3F29" w:rsidRDefault="006D3F29"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4B4C2BB5" w14:textId="77777777" w:rsidR="006D3F29" w:rsidRDefault="006D3F29"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44358FC0" w14:textId="77777777" w:rsidR="00B41B9C" w:rsidRDefault="006D3F29"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r>
        <w:rPr>
          <w:rFonts w:ascii="Arial" w:hAnsi="Arial" w:cs="Arial"/>
          <w:b/>
          <w:bCs/>
          <w:sz w:val="22"/>
          <w:szCs w:val="22"/>
        </w:rPr>
        <w:t xml:space="preserve"> </w:t>
      </w:r>
    </w:p>
    <w:p w14:paraId="55D8A026" w14:textId="77777777" w:rsidR="00B41B9C" w:rsidRDefault="00B41B9C"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7284C51E" w14:textId="77777777" w:rsidR="00B41B9C" w:rsidRDefault="00B41B9C"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6A8AFEA4" w14:textId="77777777" w:rsidR="00B41B9C" w:rsidRDefault="00B41B9C"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7157C566" w14:textId="77777777" w:rsidR="00996963" w:rsidRPr="00451C85" w:rsidRDefault="008D6663" w:rsidP="00996963">
      <w:pPr>
        <w:pStyle w:val="Standard"/>
        <w:shd w:val="clear" w:color="auto" w:fill="FFFFFF"/>
        <w:tabs>
          <w:tab w:val="left" w:pos="-165"/>
          <w:tab w:val="left" w:pos="60"/>
        </w:tabs>
        <w:spacing w:after="119" w:line="100" w:lineRule="atLeast"/>
        <w:jc w:val="both"/>
        <w:rPr>
          <w:rFonts w:ascii="Arial" w:hAnsi="Arial" w:cs="Arial"/>
          <w:b/>
          <w:bCs/>
          <w:sz w:val="22"/>
          <w:szCs w:val="22"/>
        </w:rPr>
      </w:pPr>
      <w:r>
        <w:rPr>
          <w:rFonts w:ascii="Arial" w:hAnsi="Arial" w:cs="Arial"/>
          <w:b/>
          <w:bCs/>
          <w:sz w:val="22"/>
          <w:szCs w:val="22"/>
        </w:rPr>
        <w:t xml:space="preserve">                                                                   </w:t>
      </w:r>
      <w:r w:rsidR="00594CE1">
        <w:rPr>
          <w:rFonts w:ascii="Arial" w:hAnsi="Arial" w:cs="Arial"/>
          <w:b/>
          <w:bCs/>
          <w:sz w:val="22"/>
          <w:szCs w:val="22"/>
        </w:rPr>
        <w:t>Gráfico 18</w:t>
      </w:r>
      <w:r w:rsidR="00996963">
        <w:rPr>
          <w:rFonts w:ascii="Arial" w:hAnsi="Arial" w:cs="Arial"/>
          <w:b/>
          <w:bCs/>
          <w:sz w:val="22"/>
          <w:szCs w:val="22"/>
        </w:rPr>
        <w:t xml:space="preserve">                                  </w:t>
      </w:r>
      <w:r w:rsidR="00996963">
        <w:rPr>
          <w:color w:val="FF0000"/>
          <w:sz w:val="22"/>
          <w:szCs w:val="22"/>
          <w:lang w:eastAsia="es-CR"/>
        </w:rPr>
        <w:t xml:space="preserve">                          </w:t>
      </w:r>
    </w:p>
    <w:p w14:paraId="4F3CC281" w14:textId="77777777" w:rsidR="008D6663" w:rsidRDefault="008D6663" w:rsidP="008D6663">
      <w:pPr>
        <w:pStyle w:val="Standard"/>
        <w:jc w:val="both"/>
        <w:rPr>
          <w:noProof/>
          <w:lang w:val="es-CR" w:eastAsia="es-CR"/>
        </w:rPr>
      </w:pPr>
      <w:r w:rsidRPr="008D6663">
        <w:rPr>
          <w:noProof/>
          <w:lang w:val="es-CR" w:eastAsia="es-CR"/>
        </w:rPr>
        <w:drawing>
          <wp:anchor distT="0" distB="0" distL="114300" distR="114300" simplePos="0" relativeHeight="251853824" behindDoc="0" locked="0" layoutInCell="1" allowOverlap="1" wp14:anchorId="3E6223D1" wp14:editId="5604D547">
            <wp:simplePos x="0" y="0"/>
            <wp:positionH relativeFrom="margin">
              <wp:posOffset>2537460</wp:posOffset>
            </wp:positionH>
            <wp:positionV relativeFrom="paragraph">
              <wp:posOffset>67945</wp:posOffset>
            </wp:positionV>
            <wp:extent cx="3383280" cy="2080260"/>
            <wp:effectExtent l="0" t="0" r="7620" b="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8328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FEB0CB" w14:textId="77777777" w:rsidR="008C7864" w:rsidRPr="00B41B9C" w:rsidRDefault="008D6663" w:rsidP="008C7864">
      <w:pPr>
        <w:pStyle w:val="Standard"/>
        <w:jc w:val="both"/>
        <w:rPr>
          <w:rFonts w:ascii="Arial" w:eastAsiaTheme="minorHAnsi" w:hAnsi="Arial" w:cs="Arial"/>
          <w:kern w:val="0"/>
          <w:sz w:val="22"/>
          <w:szCs w:val="22"/>
          <w:lang w:val="es-CR" w:eastAsia="en-US"/>
        </w:rPr>
      </w:pPr>
      <w:r w:rsidRPr="008D6663">
        <w:rPr>
          <w:rFonts w:ascii="Arial" w:hAnsi="Arial" w:cs="Arial"/>
          <w:sz w:val="22"/>
          <w:szCs w:val="22"/>
        </w:rPr>
        <w:t>Esta región muestra al 31 de diciembre del 2017 ingresos por un monto de ¢10.884 millones y para el mismo período del 2018 de ¢11.672 millones, generando un crecimiento de un 7% (¢788 millones), se incluye dentro de esta suma el servicio de hidrantes por ¢308 millones. Este incremento en los ingresos es producto del aumento en las tarifas ya mencionado a partir del</w:t>
      </w:r>
      <w:r w:rsidR="008C7864">
        <w:rPr>
          <w:rFonts w:ascii="Arial" w:hAnsi="Arial" w:cs="Arial"/>
          <w:sz w:val="22"/>
          <w:szCs w:val="22"/>
        </w:rPr>
        <w:t xml:space="preserve"> mes de octubre 2017. Además,</w:t>
      </w:r>
      <w:r w:rsidRPr="008D6663">
        <w:rPr>
          <w:rFonts w:ascii="Arial" w:hAnsi="Arial" w:cs="Arial"/>
          <w:sz w:val="22"/>
          <w:szCs w:val="22"/>
        </w:rPr>
        <w:t xml:space="preserve"> </w:t>
      </w:r>
      <w:r w:rsidR="008C7864">
        <w:rPr>
          <w:rFonts w:ascii="Arial" w:hAnsi="Arial" w:cs="Arial"/>
          <w:sz w:val="22"/>
          <w:szCs w:val="22"/>
        </w:rPr>
        <w:t>los</w:t>
      </w:r>
      <w:r w:rsidR="00E77796">
        <w:rPr>
          <w:rFonts w:ascii="Arial" w:hAnsi="Arial" w:cs="Arial"/>
          <w:sz w:val="22"/>
          <w:szCs w:val="22"/>
        </w:rPr>
        <w:t xml:space="preserve"> ingresos financieros</w:t>
      </w:r>
      <w:r w:rsidR="008C7864">
        <w:rPr>
          <w:rFonts w:ascii="Arial" w:hAnsi="Arial" w:cs="Arial"/>
          <w:sz w:val="22"/>
          <w:szCs w:val="22"/>
        </w:rPr>
        <w:t xml:space="preserve"> y otros conceptos crecen</w:t>
      </w:r>
      <w:r w:rsidR="00E77796">
        <w:rPr>
          <w:rFonts w:ascii="Arial" w:hAnsi="Arial" w:cs="Arial"/>
          <w:sz w:val="22"/>
          <w:szCs w:val="22"/>
        </w:rPr>
        <w:t xml:space="preserve"> ¢280</w:t>
      </w:r>
      <w:r w:rsidRPr="008D6663">
        <w:rPr>
          <w:rFonts w:ascii="Arial" w:hAnsi="Arial" w:cs="Arial"/>
          <w:sz w:val="22"/>
          <w:szCs w:val="22"/>
        </w:rPr>
        <w:t xml:space="preserve"> millones </w:t>
      </w:r>
      <w:r w:rsidR="008C7864">
        <w:rPr>
          <w:rFonts w:ascii="Arial" w:eastAsiaTheme="minorHAnsi" w:hAnsi="Arial" w:cs="Arial"/>
          <w:kern w:val="0"/>
          <w:sz w:val="22"/>
          <w:szCs w:val="22"/>
          <w:lang w:val="es-CR" w:eastAsia="en-US"/>
        </w:rPr>
        <w:t>como resultado de</w:t>
      </w:r>
      <w:r w:rsidR="008C7864" w:rsidRPr="00B41B9C">
        <w:rPr>
          <w:rFonts w:ascii="Arial" w:eastAsiaTheme="minorHAnsi" w:hAnsi="Arial" w:cs="Arial"/>
          <w:kern w:val="0"/>
          <w:sz w:val="22"/>
          <w:szCs w:val="22"/>
          <w:lang w:val="es-CR" w:eastAsia="en-US"/>
        </w:rPr>
        <w:t xml:space="preserve"> la implementación de la nueva Política Contable para el registro de las donaciones</w:t>
      </w:r>
      <w:r w:rsidR="008C7864">
        <w:rPr>
          <w:rFonts w:ascii="Arial" w:eastAsiaTheme="minorHAnsi" w:hAnsi="Arial" w:cs="Arial"/>
          <w:kern w:val="0"/>
          <w:sz w:val="22"/>
          <w:szCs w:val="22"/>
          <w:lang w:val="es-CR" w:eastAsia="en-US"/>
        </w:rPr>
        <w:t xml:space="preserve"> y otros</w:t>
      </w:r>
      <w:r w:rsidR="008C7864" w:rsidRPr="00B41B9C">
        <w:rPr>
          <w:rFonts w:ascii="Arial" w:eastAsiaTheme="minorHAnsi" w:hAnsi="Arial" w:cs="Arial"/>
          <w:kern w:val="0"/>
          <w:sz w:val="22"/>
          <w:szCs w:val="22"/>
          <w:lang w:val="es-CR" w:eastAsia="en-US"/>
        </w:rPr>
        <w:t>.</w:t>
      </w:r>
    </w:p>
    <w:p w14:paraId="0DD14519" w14:textId="77777777" w:rsidR="008D6663" w:rsidRDefault="008D6663" w:rsidP="008D6663">
      <w:pPr>
        <w:pStyle w:val="Standard"/>
        <w:jc w:val="both"/>
        <w:rPr>
          <w:rFonts w:ascii="Arial" w:hAnsi="Arial" w:cs="Arial"/>
          <w:sz w:val="22"/>
          <w:szCs w:val="22"/>
        </w:rPr>
      </w:pPr>
    </w:p>
    <w:p w14:paraId="30549265" w14:textId="77777777" w:rsidR="008C7864" w:rsidRPr="008D6663" w:rsidRDefault="008C7864" w:rsidP="008D6663">
      <w:pPr>
        <w:pStyle w:val="Standard"/>
        <w:jc w:val="both"/>
        <w:rPr>
          <w:rFonts w:ascii="Arial" w:hAnsi="Arial" w:cs="Arial"/>
          <w:sz w:val="22"/>
          <w:szCs w:val="22"/>
        </w:rPr>
      </w:pPr>
    </w:p>
    <w:p w14:paraId="3780FD04" w14:textId="77777777" w:rsidR="008D6663" w:rsidRPr="008D6663" w:rsidRDefault="008D6663" w:rsidP="008D6663">
      <w:pPr>
        <w:pStyle w:val="Standard"/>
        <w:jc w:val="both"/>
        <w:rPr>
          <w:rFonts w:ascii="Arial" w:hAnsi="Arial" w:cs="Arial"/>
          <w:sz w:val="22"/>
          <w:szCs w:val="22"/>
        </w:rPr>
      </w:pPr>
      <w:r w:rsidRPr="008D6663">
        <w:rPr>
          <w:rFonts w:ascii="Arial" w:hAnsi="Arial" w:cs="Arial"/>
          <w:sz w:val="22"/>
          <w:szCs w:val="22"/>
        </w:rPr>
        <w:t>Los costos directos administrativos y operativos aumentan ¢361 millones (4%), al 31 de diciembre del 2018.</w:t>
      </w:r>
    </w:p>
    <w:p w14:paraId="6A775180" w14:textId="77777777" w:rsidR="008D6663" w:rsidRPr="008D6663" w:rsidRDefault="008D6663" w:rsidP="008D6663">
      <w:pPr>
        <w:pStyle w:val="Standard"/>
        <w:jc w:val="both"/>
        <w:rPr>
          <w:rFonts w:ascii="Arial" w:hAnsi="Arial" w:cs="Arial"/>
          <w:sz w:val="22"/>
          <w:szCs w:val="22"/>
        </w:rPr>
      </w:pPr>
    </w:p>
    <w:p w14:paraId="7E7E8D8A" w14:textId="77777777" w:rsidR="008D6663" w:rsidRDefault="008D6663" w:rsidP="008D6663">
      <w:pPr>
        <w:pStyle w:val="Standard"/>
        <w:jc w:val="both"/>
        <w:rPr>
          <w:rFonts w:ascii="Arial" w:hAnsi="Arial" w:cs="Arial"/>
          <w:sz w:val="22"/>
          <w:szCs w:val="22"/>
        </w:rPr>
      </w:pPr>
    </w:p>
    <w:p w14:paraId="5808D281" w14:textId="77777777" w:rsidR="00BA3B81" w:rsidRDefault="00BA3B81" w:rsidP="00BA3B81">
      <w:pPr>
        <w:pStyle w:val="Standard"/>
        <w:jc w:val="right"/>
        <w:rPr>
          <w:rFonts w:ascii="Arial" w:hAnsi="Arial" w:cs="Arial"/>
          <w:sz w:val="22"/>
          <w:szCs w:val="22"/>
        </w:rPr>
      </w:pPr>
      <w:r>
        <w:rPr>
          <w:rFonts w:ascii="Arial" w:hAnsi="Arial" w:cs="Arial"/>
          <w:sz w:val="22"/>
          <w:szCs w:val="22"/>
        </w:rPr>
        <w:t>33</w:t>
      </w:r>
    </w:p>
    <w:p w14:paraId="658083F1" w14:textId="77777777" w:rsidR="008D6663" w:rsidRPr="008D6663" w:rsidRDefault="008D6663" w:rsidP="008D6663">
      <w:pPr>
        <w:pStyle w:val="Standard"/>
        <w:jc w:val="both"/>
        <w:rPr>
          <w:rFonts w:ascii="Arial" w:hAnsi="Arial" w:cs="Arial"/>
          <w:sz w:val="22"/>
          <w:szCs w:val="22"/>
        </w:rPr>
      </w:pPr>
      <w:r w:rsidRPr="008D6663">
        <w:rPr>
          <w:rFonts w:ascii="Arial" w:hAnsi="Arial" w:cs="Arial"/>
          <w:sz w:val="22"/>
          <w:szCs w:val="22"/>
        </w:rPr>
        <w:lastRenderedPageBreak/>
        <w:t>La utilidad bruta de operación fue positiva en los dos períodos analizados y la misma aumenta en ¢810 millones (29%) para el 2018, pues pasa de ¢2.805 millones en el 2017 a ¢3.615 millones para el 2018. Es importante destacar que, esta utilidad es el resultado de un crecimiento mayor en los ingresos (7%), mientras que los egresos aumentaron levemente (4%).</w:t>
      </w:r>
    </w:p>
    <w:p w14:paraId="0E528FAB" w14:textId="77777777" w:rsidR="008D6663" w:rsidRPr="008D6663" w:rsidRDefault="008D6663" w:rsidP="008D6663">
      <w:pPr>
        <w:pStyle w:val="Standard"/>
        <w:jc w:val="both"/>
        <w:rPr>
          <w:rFonts w:ascii="Arial" w:hAnsi="Arial" w:cs="Arial"/>
          <w:sz w:val="22"/>
          <w:szCs w:val="22"/>
        </w:rPr>
      </w:pPr>
    </w:p>
    <w:p w14:paraId="105E41CE" w14:textId="77777777" w:rsidR="008D6663" w:rsidRPr="008D6663" w:rsidRDefault="008D6663" w:rsidP="008D6663">
      <w:pPr>
        <w:pStyle w:val="Standard"/>
        <w:jc w:val="both"/>
        <w:rPr>
          <w:rFonts w:ascii="Arial" w:hAnsi="Arial" w:cs="Arial"/>
          <w:sz w:val="22"/>
          <w:szCs w:val="22"/>
        </w:rPr>
      </w:pPr>
      <w:r w:rsidRPr="008D6663">
        <w:rPr>
          <w:rFonts w:ascii="Arial" w:hAnsi="Arial" w:cs="Arial"/>
          <w:sz w:val="22"/>
          <w:szCs w:val="22"/>
        </w:rPr>
        <w:t>Los costos indirectos y financieros que son trasladados de la Sede Central crecen ¢656 millones (16%) en comparación al 2017, este apartado registra los siguientes movimientos:</w:t>
      </w:r>
    </w:p>
    <w:p w14:paraId="0B0F3589" w14:textId="77777777" w:rsidR="008D6663" w:rsidRPr="008D6663" w:rsidRDefault="008D6663" w:rsidP="008D6663">
      <w:pPr>
        <w:pStyle w:val="Standard"/>
        <w:jc w:val="both"/>
        <w:rPr>
          <w:rFonts w:ascii="Arial" w:hAnsi="Arial" w:cs="Arial"/>
          <w:sz w:val="22"/>
          <w:szCs w:val="22"/>
        </w:rPr>
      </w:pPr>
    </w:p>
    <w:p w14:paraId="61857700" w14:textId="77777777" w:rsidR="008D6663" w:rsidRPr="008D6663" w:rsidRDefault="008D6663" w:rsidP="00594CE1">
      <w:pPr>
        <w:pStyle w:val="Standard"/>
        <w:numPr>
          <w:ilvl w:val="0"/>
          <w:numId w:val="46"/>
        </w:numPr>
        <w:jc w:val="both"/>
        <w:rPr>
          <w:rFonts w:ascii="Arial" w:hAnsi="Arial" w:cs="Arial"/>
          <w:sz w:val="22"/>
          <w:szCs w:val="22"/>
        </w:rPr>
      </w:pPr>
      <w:r w:rsidRPr="008D6663">
        <w:rPr>
          <w:rFonts w:ascii="Arial" w:hAnsi="Arial" w:cs="Arial"/>
          <w:sz w:val="22"/>
          <w:szCs w:val="22"/>
        </w:rPr>
        <w:t>Costos indirectos distribuidos desde la Sede: los cuales para el 2018 crecen ¢337 millones (9%), ya que pasan de ¢3.818 millones en el 2017 a ¢4.155 para el 2018.</w:t>
      </w:r>
    </w:p>
    <w:p w14:paraId="5833179C" w14:textId="77777777" w:rsidR="008D6663" w:rsidRPr="008D6663" w:rsidRDefault="008D6663" w:rsidP="008D6663">
      <w:pPr>
        <w:pStyle w:val="Standard"/>
        <w:jc w:val="both"/>
        <w:rPr>
          <w:rFonts w:ascii="Arial" w:hAnsi="Arial" w:cs="Arial"/>
          <w:sz w:val="22"/>
          <w:szCs w:val="22"/>
        </w:rPr>
      </w:pPr>
    </w:p>
    <w:p w14:paraId="3B1DA8FE" w14:textId="77777777" w:rsidR="008D6663" w:rsidRPr="008D6663" w:rsidRDefault="008D6663" w:rsidP="00594CE1">
      <w:pPr>
        <w:pStyle w:val="Standard"/>
        <w:numPr>
          <w:ilvl w:val="0"/>
          <w:numId w:val="46"/>
        </w:numPr>
        <w:jc w:val="both"/>
        <w:rPr>
          <w:rFonts w:ascii="Arial" w:hAnsi="Arial" w:cs="Arial"/>
          <w:sz w:val="22"/>
          <w:szCs w:val="22"/>
        </w:rPr>
      </w:pPr>
      <w:r w:rsidRPr="008D6663">
        <w:rPr>
          <w:rFonts w:ascii="Arial" w:hAnsi="Arial" w:cs="Arial"/>
          <w:sz w:val="22"/>
          <w:szCs w:val="22"/>
        </w:rPr>
        <w:t>La depreciación indirecta aumenta ¢13 millones, pues pasa de ¢90 millones en el 2017 a ¢103 millones para el 2018.</w:t>
      </w:r>
    </w:p>
    <w:p w14:paraId="7BE8F2A2" w14:textId="77777777" w:rsidR="008D6663" w:rsidRPr="008D6663" w:rsidRDefault="008D6663" w:rsidP="008D6663">
      <w:pPr>
        <w:pStyle w:val="Standard"/>
        <w:jc w:val="both"/>
        <w:rPr>
          <w:rFonts w:ascii="Arial" w:hAnsi="Arial" w:cs="Arial"/>
          <w:sz w:val="22"/>
          <w:szCs w:val="22"/>
        </w:rPr>
      </w:pPr>
    </w:p>
    <w:p w14:paraId="32B1334E" w14:textId="77777777" w:rsidR="008D6663" w:rsidRPr="008D6663" w:rsidRDefault="008D6663" w:rsidP="00594CE1">
      <w:pPr>
        <w:pStyle w:val="Standard"/>
        <w:numPr>
          <w:ilvl w:val="0"/>
          <w:numId w:val="46"/>
        </w:numPr>
        <w:jc w:val="both"/>
        <w:rPr>
          <w:rFonts w:ascii="Arial" w:hAnsi="Arial" w:cs="Arial"/>
          <w:sz w:val="22"/>
          <w:szCs w:val="22"/>
        </w:rPr>
      </w:pPr>
      <w:r w:rsidRPr="008D6663">
        <w:rPr>
          <w:rFonts w:ascii="Arial" w:hAnsi="Arial" w:cs="Arial"/>
          <w:sz w:val="22"/>
          <w:szCs w:val="22"/>
        </w:rPr>
        <w:t>Sección Financiera: en la que se muestra para los 2017 gastos financieros por diferencial cambiario por la suma de ¢276 millones, entre tanto para el 2018 se registra ¢581 millones, presentándose un ascenso de ¢305 millones (111%) por este concepto.</w:t>
      </w:r>
    </w:p>
    <w:p w14:paraId="5309F3F4" w14:textId="77777777" w:rsidR="008D6663" w:rsidRPr="008D6663" w:rsidRDefault="008D6663" w:rsidP="008D6663">
      <w:pPr>
        <w:pStyle w:val="Standard"/>
        <w:jc w:val="both"/>
        <w:rPr>
          <w:rFonts w:ascii="Arial" w:hAnsi="Arial" w:cs="Arial"/>
          <w:sz w:val="22"/>
          <w:szCs w:val="22"/>
        </w:rPr>
      </w:pPr>
    </w:p>
    <w:p w14:paraId="3FE0AF75" w14:textId="77777777" w:rsidR="00996963" w:rsidRDefault="008D6663" w:rsidP="008D6663">
      <w:pPr>
        <w:pStyle w:val="Standard"/>
        <w:jc w:val="both"/>
        <w:rPr>
          <w:rFonts w:ascii="Arial" w:hAnsi="Arial" w:cs="Arial"/>
          <w:sz w:val="22"/>
          <w:szCs w:val="22"/>
        </w:rPr>
      </w:pPr>
      <w:r w:rsidRPr="008D6663">
        <w:rPr>
          <w:rFonts w:ascii="Arial" w:hAnsi="Arial" w:cs="Arial"/>
          <w:sz w:val="22"/>
          <w:szCs w:val="22"/>
        </w:rPr>
        <w:t>Se presenta una Pérdida Neta al 31 de diciembre 2018 por ¢1.224 millones, ya que los ingresos suman ¢12.542 millones mientras que los costos totales son por ¢13.766 millones. Esta Pérdida disminuye en un 11% con respecto al 2017 ¢156 millones, lo que evidencia una mejora en los ingresos facturados, derivada directamente del aumento tarifario, sin embargo, los ingresos no son suficientes para cubrir la totalidad de los costos generados en ese período.</w:t>
      </w:r>
    </w:p>
    <w:p w14:paraId="29B7F0D9" w14:textId="77777777" w:rsidR="00996963" w:rsidRDefault="00996963" w:rsidP="00996963">
      <w:pPr>
        <w:pStyle w:val="Standard"/>
        <w:jc w:val="both"/>
        <w:rPr>
          <w:rFonts w:ascii="Arial" w:hAnsi="Arial" w:cs="Arial"/>
          <w:sz w:val="22"/>
          <w:szCs w:val="22"/>
        </w:rPr>
      </w:pPr>
    </w:p>
    <w:p w14:paraId="109F8A67" w14:textId="77777777" w:rsidR="00996963" w:rsidRDefault="00996963" w:rsidP="00996963">
      <w:pPr>
        <w:pStyle w:val="Standard"/>
        <w:jc w:val="both"/>
      </w:pPr>
      <w:r>
        <w:rPr>
          <w:rFonts w:ascii="Arial" w:hAnsi="Arial" w:cs="Arial"/>
          <w:b/>
          <w:sz w:val="22"/>
          <w:szCs w:val="22"/>
        </w:rPr>
        <w:t>Región Central Oeste</w:t>
      </w:r>
    </w:p>
    <w:p w14:paraId="538D5587" w14:textId="77777777" w:rsidR="00996963" w:rsidRDefault="008D6663" w:rsidP="00996963">
      <w:pPr>
        <w:pStyle w:val="Textoindependiente21"/>
        <w:spacing w:before="100"/>
        <w:rPr>
          <w:color w:val="FF0000"/>
          <w:sz w:val="22"/>
          <w:szCs w:val="22"/>
        </w:rPr>
      </w:pPr>
      <w:r w:rsidRPr="008D6663">
        <w:rPr>
          <w:noProof/>
          <w:lang w:val="es-CR" w:eastAsia="es-CR"/>
        </w:rPr>
        <w:drawing>
          <wp:anchor distT="0" distB="0" distL="114300" distR="114300" simplePos="0" relativeHeight="251854848" behindDoc="0" locked="0" layoutInCell="1" allowOverlap="1" wp14:anchorId="1276E228" wp14:editId="75CED871">
            <wp:simplePos x="0" y="0"/>
            <wp:positionH relativeFrom="column">
              <wp:posOffset>504825</wp:posOffset>
            </wp:positionH>
            <wp:positionV relativeFrom="paragraph">
              <wp:posOffset>67945</wp:posOffset>
            </wp:positionV>
            <wp:extent cx="4693920" cy="2537460"/>
            <wp:effectExtent l="0" t="0" r="0"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93920" cy="2537460"/>
                    </a:xfrm>
                    <a:prstGeom prst="rect">
                      <a:avLst/>
                    </a:prstGeom>
                    <a:noFill/>
                    <a:ln>
                      <a:noFill/>
                    </a:ln>
                  </pic:spPr>
                </pic:pic>
              </a:graphicData>
            </a:graphic>
          </wp:anchor>
        </w:drawing>
      </w:r>
    </w:p>
    <w:p w14:paraId="7016FA26" w14:textId="77777777" w:rsidR="00DB3B45" w:rsidRDefault="00DB3B45" w:rsidP="00996963">
      <w:pPr>
        <w:pStyle w:val="Textoindependiente21"/>
        <w:spacing w:before="100"/>
        <w:rPr>
          <w:color w:val="FF0000"/>
          <w:sz w:val="22"/>
          <w:szCs w:val="22"/>
        </w:rPr>
      </w:pPr>
    </w:p>
    <w:p w14:paraId="3C878967" w14:textId="77777777" w:rsidR="00DB3B45" w:rsidRDefault="00DB3B45" w:rsidP="00996963">
      <w:pPr>
        <w:pStyle w:val="Textoindependiente21"/>
        <w:spacing w:before="100"/>
        <w:rPr>
          <w:color w:val="FF0000"/>
          <w:sz w:val="22"/>
          <w:szCs w:val="22"/>
        </w:rPr>
      </w:pPr>
    </w:p>
    <w:p w14:paraId="36AF092A" w14:textId="77777777" w:rsidR="00DB3B45" w:rsidRDefault="00DB3B45" w:rsidP="00996963">
      <w:pPr>
        <w:pStyle w:val="Textoindependiente21"/>
        <w:spacing w:before="100"/>
        <w:rPr>
          <w:color w:val="FF0000"/>
          <w:sz w:val="22"/>
          <w:szCs w:val="22"/>
        </w:rPr>
      </w:pPr>
    </w:p>
    <w:p w14:paraId="73FF5471" w14:textId="77777777" w:rsidR="00996963" w:rsidRDefault="00996963" w:rsidP="00996963">
      <w:pPr>
        <w:pStyle w:val="Textoindependiente21"/>
        <w:spacing w:before="100"/>
        <w:rPr>
          <w:sz w:val="22"/>
          <w:szCs w:val="22"/>
        </w:rPr>
      </w:pPr>
    </w:p>
    <w:p w14:paraId="25575822" w14:textId="77777777" w:rsidR="00DB3B45" w:rsidRDefault="00DB3B45" w:rsidP="00DB3B45">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22DCC52E" w14:textId="77777777" w:rsidR="00DB3B45" w:rsidRDefault="00DB3B45" w:rsidP="00DB3B45">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0A852B5D" w14:textId="77777777" w:rsidR="00DB3B45" w:rsidRDefault="00DB3B45" w:rsidP="00DB3B45">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31DD445C" w14:textId="77777777" w:rsidR="00DB3B45" w:rsidRDefault="00DB3B45" w:rsidP="00DB3B45">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10945265" w14:textId="77777777" w:rsidR="00DB3B45" w:rsidRDefault="00DB3B45" w:rsidP="00DB3B45">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25299F6B" w14:textId="77777777" w:rsidR="00DB3B45" w:rsidRDefault="00DB3B45" w:rsidP="00DB3B45">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48D5A496" w14:textId="77777777" w:rsidR="00DB3B45" w:rsidRDefault="00DB3B45" w:rsidP="00DB3B45">
      <w:pPr>
        <w:pStyle w:val="Standard"/>
        <w:shd w:val="clear" w:color="auto" w:fill="FFFFFF"/>
        <w:tabs>
          <w:tab w:val="left" w:pos="-165"/>
          <w:tab w:val="left" w:pos="60"/>
        </w:tabs>
        <w:spacing w:after="119" w:line="100" w:lineRule="atLeast"/>
        <w:jc w:val="both"/>
        <w:rPr>
          <w:rFonts w:ascii="Arial" w:hAnsi="Arial" w:cs="Arial"/>
          <w:b/>
          <w:bCs/>
          <w:sz w:val="22"/>
          <w:szCs w:val="22"/>
        </w:rPr>
      </w:pPr>
    </w:p>
    <w:p w14:paraId="4717EABB" w14:textId="77777777" w:rsidR="00BA3B81" w:rsidRPr="001F3044" w:rsidRDefault="008D6663" w:rsidP="001F3044">
      <w:pPr>
        <w:pStyle w:val="Standard"/>
        <w:shd w:val="clear" w:color="auto" w:fill="FFFFFF"/>
        <w:tabs>
          <w:tab w:val="left" w:pos="-165"/>
          <w:tab w:val="left" w:pos="60"/>
        </w:tabs>
        <w:spacing w:after="119" w:line="100" w:lineRule="atLeast"/>
        <w:jc w:val="right"/>
        <w:rPr>
          <w:rFonts w:ascii="Arial" w:hAnsi="Arial" w:cs="Arial"/>
          <w:bCs/>
          <w:sz w:val="22"/>
          <w:szCs w:val="22"/>
        </w:rPr>
      </w:pPr>
      <w:r w:rsidRPr="001F3044">
        <w:rPr>
          <w:rFonts w:ascii="Arial" w:hAnsi="Arial" w:cs="Arial"/>
          <w:bCs/>
          <w:sz w:val="22"/>
          <w:szCs w:val="22"/>
        </w:rPr>
        <w:t xml:space="preserve"> </w:t>
      </w:r>
      <w:r w:rsidR="001F3044" w:rsidRPr="001F3044">
        <w:rPr>
          <w:rFonts w:ascii="Arial" w:hAnsi="Arial" w:cs="Arial"/>
          <w:bCs/>
          <w:sz w:val="22"/>
          <w:szCs w:val="22"/>
        </w:rPr>
        <w:t>34</w:t>
      </w:r>
    </w:p>
    <w:p w14:paraId="7B94D269" w14:textId="77777777" w:rsidR="00996963" w:rsidRDefault="00594CE1" w:rsidP="00DB3B45">
      <w:pPr>
        <w:pStyle w:val="Standard"/>
        <w:shd w:val="clear" w:color="auto" w:fill="FFFFFF"/>
        <w:tabs>
          <w:tab w:val="left" w:pos="-165"/>
          <w:tab w:val="left" w:pos="60"/>
        </w:tabs>
        <w:spacing w:after="119" w:line="100" w:lineRule="atLeast"/>
        <w:jc w:val="both"/>
        <w:rPr>
          <w:rFonts w:ascii="Arial" w:hAnsi="Arial" w:cs="Arial"/>
          <w:b/>
          <w:bCs/>
          <w:sz w:val="22"/>
          <w:szCs w:val="22"/>
        </w:rPr>
      </w:pPr>
      <w:r>
        <w:rPr>
          <w:rFonts w:ascii="Arial" w:hAnsi="Arial" w:cs="Arial"/>
          <w:b/>
          <w:bCs/>
          <w:sz w:val="22"/>
          <w:szCs w:val="22"/>
        </w:rPr>
        <w:lastRenderedPageBreak/>
        <w:t>Gráfico 19</w:t>
      </w:r>
    </w:p>
    <w:p w14:paraId="1758F51E" w14:textId="77777777" w:rsidR="008D6663" w:rsidRDefault="008D6663" w:rsidP="00DB3B45">
      <w:pPr>
        <w:pStyle w:val="Standard"/>
        <w:shd w:val="clear" w:color="auto" w:fill="FFFFFF"/>
        <w:tabs>
          <w:tab w:val="left" w:pos="-165"/>
          <w:tab w:val="left" w:pos="60"/>
        </w:tabs>
        <w:spacing w:after="119" w:line="100" w:lineRule="atLeast"/>
        <w:jc w:val="both"/>
        <w:rPr>
          <w:noProof/>
          <w:lang w:val="es-CR" w:eastAsia="es-CR"/>
        </w:rPr>
      </w:pPr>
      <w:r w:rsidRPr="008D6663">
        <w:rPr>
          <w:noProof/>
          <w:lang w:val="es-CR" w:eastAsia="es-CR"/>
        </w:rPr>
        <w:drawing>
          <wp:anchor distT="0" distB="0" distL="114300" distR="114300" simplePos="0" relativeHeight="251855872" behindDoc="0" locked="0" layoutInCell="1" allowOverlap="1" wp14:anchorId="1B5264EF" wp14:editId="42F6DE4B">
            <wp:simplePos x="0" y="0"/>
            <wp:positionH relativeFrom="margin">
              <wp:align>left</wp:align>
            </wp:positionH>
            <wp:positionV relativeFrom="paragraph">
              <wp:posOffset>160020</wp:posOffset>
            </wp:positionV>
            <wp:extent cx="3368040" cy="2087880"/>
            <wp:effectExtent l="0" t="0" r="3810" b="762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68040"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C033D3" w14:textId="77777777" w:rsidR="008D6663" w:rsidRDefault="008D6663" w:rsidP="008D6663">
      <w:pPr>
        <w:pStyle w:val="NormalWeb"/>
        <w:spacing w:before="0"/>
        <w:rPr>
          <w:rFonts w:ascii="Arial" w:hAnsi="Arial" w:cs="Arial"/>
          <w:sz w:val="22"/>
          <w:szCs w:val="22"/>
        </w:rPr>
      </w:pPr>
      <w:r w:rsidRPr="008D6663">
        <w:rPr>
          <w:rFonts w:ascii="Arial" w:hAnsi="Arial" w:cs="Arial"/>
          <w:sz w:val="22"/>
          <w:szCs w:val="22"/>
        </w:rPr>
        <w:t>Para el 31 de diciembre del 2017 los ingresos por facturación se registran por ¢7.213 millones y pasan a ¢8.382 millones en el mismo período del 2018, registrándose un aumento de un 16% (¢1.168 millones); el aumento en los ingresos es producto del aumento en la tarifa, mencionado anteriormente, además de un error en la facturación en la cantonal de Puriscal por ¢338 millones</w:t>
      </w:r>
      <w:r w:rsidR="00FD2F83" w:rsidRPr="00FD2F83">
        <w:rPr>
          <w:rFonts w:ascii="Arial" w:hAnsi="Arial" w:cs="Arial"/>
          <w:sz w:val="22"/>
          <w:szCs w:val="22"/>
        </w:rPr>
        <w:t>, que afectó el mes de noviembre 2018, el cual se subsana en el mes de enero del 2019.  Por otra parte, los ingresos financieros y otros conceptos se incrementan ¢218 millones, ocasionado por la implementación de la nueva Política Contable para el registro de las donaciones que establece que estas se deben diferir en el período de la vida útil de los activos recibidos, por tanto, se contabilizan originalmente como un pasivo diferido y se amortizan conforme se realizan.</w:t>
      </w:r>
    </w:p>
    <w:p w14:paraId="4A90FAC5" w14:textId="77777777" w:rsidR="00FD2F83" w:rsidRPr="008D6663" w:rsidRDefault="00FD2F83" w:rsidP="008D6663">
      <w:pPr>
        <w:pStyle w:val="NormalWeb"/>
        <w:spacing w:before="0"/>
        <w:rPr>
          <w:rFonts w:ascii="Arial" w:hAnsi="Arial" w:cs="Arial"/>
          <w:sz w:val="22"/>
          <w:szCs w:val="22"/>
        </w:rPr>
      </w:pPr>
    </w:p>
    <w:p w14:paraId="36F13E98" w14:textId="77777777" w:rsidR="008D6663" w:rsidRPr="008D6663" w:rsidRDefault="008D6663" w:rsidP="008D6663">
      <w:pPr>
        <w:pStyle w:val="NormalWeb"/>
        <w:spacing w:before="0"/>
        <w:rPr>
          <w:rFonts w:ascii="Arial" w:hAnsi="Arial" w:cs="Arial"/>
          <w:sz w:val="22"/>
          <w:szCs w:val="22"/>
        </w:rPr>
      </w:pPr>
      <w:r w:rsidRPr="008D6663">
        <w:rPr>
          <w:rFonts w:ascii="Arial" w:hAnsi="Arial" w:cs="Arial"/>
          <w:sz w:val="22"/>
          <w:szCs w:val="22"/>
        </w:rPr>
        <w:t xml:space="preserve">Los costos directos administrativos y operativos suman ¢7.181 millones al 31 de diciembre del 2017 y ¢7.905 millones para el mismo período del 2018, lo que representa un crecimiento de ¢724 millones (10%).  </w:t>
      </w:r>
    </w:p>
    <w:p w14:paraId="5FFB1DB1" w14:textId="77777777" w:rsidR="008D6663" w:rsidRPr="008D6663" w:rsidRDefault="008D6663" w:rsidP="008D6663">
      <w:pPr>
        <w:pStyle w:val="NormalWeb"/>
        <w:spacing w:before="0"/>
        <w:rPr>
          <w:rFonts w:ascii="Arial" w:hAnsi="Arial" w:cs="Arial"/>
          <w:sz w:val="22"/>
          <w:szCs w:val="22"/>
        </w:rPr>
      </w:pPr>
    </w:p>
    <w:p w14:paraId="3FAEEC4A" w14:textId="77777777" w:rsidR="008D6663" w:rsidRPr="008D6663" w:rsidRDefault="008D6663" w:rsidP="008D6663">
      <w:pPr>
        <w:pStyle w:val="NormalWeb"/>
        <w:spacing w:before="0"/>
        <w:rPr>
          <w:rFonts w:ascii="Arial" w:hAnsi="Arial" w:cs="Arial"/>
          <w:sz w:val="22"/>
          <w:szCs w:val="22"/>
        </w:rPr>
      </w:pPr>
      <w:r w:rsidRPr="008D6663">
        <w:rPr>
          <w:rFonts w:ascii="Arial" w:hAnsi="Arial" w:cs="Arial"/>
          <w:sz w:val="22"/>
          <w:szCs w:val="22"/>
        </w:rPr>
        <w:t>La Utilidad Bruta de Operación fue positiva en los dos periodos analizados, sin embargo, aumenta en ¢746 millones para el 31 de diciembre del 2018, lo que equivale a un incremento de más de 2 veces.</w:t>
      </w:r>
    </w:p>
    <w:p w14:paraId="34AB9652" w14:textId="77777777" w:rsidR="008D6663" w:rsidRPr="008D6663" w:rsidRDefault="008D6663" w:rsidP="008D6663">
      <w:pPr>
        <w:pStyle w:val="NormalWeb"/>
        <w:spacing w:before="0"/>
        <w:rPr>
          <w:rFonts w:ascii="Arial" w:hAnsi="Arial" w:cs="Arial"/>
          <w:sz w:val="22"/>
          <w:szCs w:val="22"/>
        </w:rPr>
      </w:pPr>
    </w:p>
    <w:p w14:paraId="35B28D8C" w14:textId="77777777" w:rsidR="008D6663" w:rsidRPr="008D6663" w:rsidRDefault="008D6663" w:rsidP="008D6663">
      <w:pPr>
        <w:pStyle w:val="NormalWeb"/>
        <w:spacing w:before="0"/>
        <w:rPr>
          <w:rFonts w:ascii="Arial" w:hAnsi="Arial" w:cs="Arial"/>
          <w:sz w:val="22"/>
          <w:szCs w:val="22"/>
        </w:rPr>
      </w:pPr>
      <w:r w:rsidRPr="008D6663">
        <w:rPr>
          <w:rFonts w:ascii="Arial" w:hAnsi="Arial" w:cs="Arial"/>
          <w:sz w:val="22"/>
          <w:szCs w:val="22"/>
        </w:rPr>
        <w:t xml:space="preserve">Los costos indirectos y financieros presentan un aumento neto de ¢492 millones, ya que pasan de ¢2.489 millones al 31 de diciembre del 2017 a ¢2.981millones en el 2018, los movimientos en esta sección son: </w:t>
      </w:r>
    </w:p>
    <w:p w14:paraId="1DED11D2" w14:textId="77777777" w:rsidR="008D6663" w:rsidRPr="008D6663" w:rsidRDefault="008D6663" w:rsidP="008D6663">
      <w:pPr>
        <w:pStyle w:val="NormalWeb"/>
        <w:spacing w:before="0"/>
        <w:rPr>
          <w:rFonts w:ascii="Arial" w:hAnsi="Arial" w:cs="Arial"/>
          <w:sz w:val="22"/>
          <w:szCs w:val="22"/>
        </w:rPr>
      </w:pPr>
    </w:p>
    <w:p w14:paraId="2AD17696" w14:textId="77777777" w:rsidR="008D6663" w:rsidRPr="008D6663" w:rsidRDefault="008D6663" w:rsidP="00594CE1">
      <w:pPr>
        <w:pStyle w:val="NormalWeb"/>
        <w:numPr>
          <w:ilvl w:val="0"/>
          <w:numId w:val="47"/>
        </w:numPr>
        <w:spacing w:before="0"/>
        <w:rPr>
          <w:rFonts w:ascii="Arial" w:hAnsi="Arial" w:cs="Arial"/>
          <w:sz w:val="22"/>
          <w:szCs w:val="22"/>
        </w:rPr>
      </w:pPr>
      <w:r w:rsidRPr="008D6663">
        <w:rPr>
          <w:rFonts w:ascii="Arial" w:hAnsi="Arial" w:cs="Arial"/>
          <w:sz w:val="22"/>
          <w:szCs w:val="22"/>
        </w:rPr>
        <w:t>Costos indirectos distribuidos desde la Sede:  para el 2018 presentan un incremento de ¢300 millones. La depreciación indirecta crece en ¢10 millones para el periodo 2018.</w:t>
      </w:r>
    </w:p>
    <w:p w14:paraId="40BF3567" w14:textId="77777777" w:rsidR="008D6663" w:rsidRPr="008D6663" w:rsidRDefault="008D6663" w:rsidP="008D6663">
      <w:pPr>
        <w:pStyle w:val="NormalWeb"/>
        <w:spacing w:before="0"/>
        <w:rPr>
          <w:rFonts w:ascii="Arial" w:hAnsi="Arial" w:cs="Arial"/>
          <w:sz w:val="22"/>
          <w:szCs w:val="22"/>
        </w:rPr>
      </w:pPr>
    </w:p>
    <w:p w14:paraId="02709341" w14:textId="77777777" w:rsidR="008D6663" w:rsidRPr="008D6663" w:rsidRDefault="008D6663" w:rsidP="00594CE1">
      <w:pPr>
        <w:pStyle w:val="NormalWeb"/>
        <w:numPr>
          <w:ilvl w:val="0"/>
          <w:numId w:val="47"/>
        </w:numPr>
        <w:spacing w:before="0"/>
        <w:rPr>
          <w:rFonts w:ascii="Arial" w:hAnsi="Arial" w:cs="Arial"/>
          <w:sz w:val="22"/>
          <w:szCs w:val="22"/>
        </w:rPr>
      </w:pPr>
      <w:r w:rsidRPr="008D6663">
        <w:rPr>
          <w:rFonts w:ascii="Arial" w:hAnsi="Arial" w:cs="Arial"/>
          <w:sz w:val="22"/>
          <w:szCs w:val="22"/>
        </w:rPr>
        <w:t xml:space="preserve">Sección Financiera: Los gastos por diferencial cambiario ascienden a ¢161 millones en el 2017, para el periodo 2018 fue de ¢343 millones ocasionando un incremento en egresos por ¢183 millones (113%). </w:t>
      </w:r>
    </w:p>
    <w:p w14:paraId="33CDC821" w14:textId="77777777" w:rsidR="008D6663" w:rsidRPr="008D6663" w:rsidRDefault="008D6663" w:rsidP="008D6663">
      <w:pPr>
        <w:pStyle w:val="NormalWeb"/>
        <w:spacing w:before="0"/>
        <w:rPr>
          <w:rFonts w:ascii="Arial" w:hAnsi="Arial" w:cs="Arial"/>
          <w:sz w:val="22"/>
          <w:szCs w:val="22"/>
        </w:rPr>
      </w:pPr>
    </w:p>
    <w:p w14:paraId="78837793" w14:textId="77777777" w:rsidR="00FD2F83" w:rsidRDefault="00FD2F83" w:rsidP="008D6663">
      <w:pPr>
        <w:pStyle w:val="NormalWeb"/>
        <w:spacing w:before="0"/>
        <w:rPr>
          <w:rFonts w:ascii="Arial" w:hAnsi="Arial" w:cs="Arial"/>
          <w:sz w:val="22"/>
          <w:szCs w:val="22"/>
        </w:rPr>
      </w:pPr>
    </w:p>
    <w:p w14:paraId="668F2E39" w14:textId="77777777" w:rsidR="00FD2F83" w:rsidRDefault="00FD2F83" w:rsidP="008D6663">
      <w:pPr>
        <w:pStyle w:val="NormalWeb"/>
        <w:spacing w:before="0"/>
        <w:rPr>
          <w:rFonts w:ascii="Arial" w:hAnsi="Arial" w:cs="Arial"/>
          <w:sz w:val="22"/>
          <w:szCs w:val="22"/>
        </w:rPr>
      </w:pPr>
    </w:p>
    <w:p w14:paraId="1DED293C" w14:textId="77777777" w:rsidR="00FD2F83" w:rsidRDefault="001F3044" w:rsidP="001F3044">
      <w:pPr>
        <w:pStyle w:val="NormalWeb"/>
        <w:spacing w:before="0"/>
        <w:jc w:val="right"/>
        <w:rPr>
          <w:rFonts w:ascii="Arial" w:hAnsi="Arial" w:cs="Arial"/>
          <w:sz w:val="22"/>
          <w:szCs w:val="22"/>
        </w:rPr>
      </w:pPr>
      <w:r>
        <w:rPr>
          <w:rFonts w:ascii="Arial" w:hAnsi="Arial" w:cs="Arial"/>
          <w:sz w:val="22"/>
          <w:szCs w:val="22"/>
        </w:rPr>
        <w:t>35</w:t>
      </w:r>
    </w:p>
    <w:p w14:paraId="2E53A52F" w14:textId="77777777" w:rsidR="001F3044" w:rsidRDefault="001F3044" w:rsidP="008D6663">
      <w:pPr>
        <w:pStyle w:val="NormalWeb"/>
        <w:spacing w:before="0"/>
        <w:rPr>
          <w:rFonts w:ascii="Arial" w:hAnsi="Arial" w:cs="Arial"/>
          <w:sz w:val="22"/>
          <w:szCs w:val="22"/>
        </w:rPr>
      </w:pPr>
    </w:p>
    <w:p w14:paraId="59F4D35D" w14:textId="77777777" w:rsidR="008D6663" w:rsidRPr="008D6663" w:rsidRDefault="008D6663" w:rsidP="008D6663">
      <w:pPr>
        <w:pStyle w:val="NormalWeb"/>
        <w:spacing w:before="0"/>
        <w:rPr>
          <w:rFonts w:ascii="Arial" w:hAnsi="Arial" w:cs="Arial"/>
          <w:sz w:val="22"/>
          <w:szCs w:val="22"/>
        </w:rPr>
      </w:pPr>
      <w:r w:rsidRPr="008D6663">
        <w:rPr>
          <w:rFonts w:ascii="Arial" w:hAnsi="Arial" w:cs="Arial"/>
          <w:sz w:val="22"/>
          <w:szCs w:val="22"/>
        </w:rPr>
        <w:lastRenderedPageBreak/>
        <w:t xml:space="preserve">Finalmente, para los periodos analizados al 31 de diciembre 2017-2018 se muestran pérdidas que van de ¢2.125 millones para el 2017 a ¢1.871 millones 2018, como se observa en la tabla anterior existe una recuperación de ¢254 millones entre periodos, originados por que los ingresos crecieron en mayor proporción que los costos, esto a causa del aumento de tarifas desde octubre 2018. </w:t>
      </w:r>
    </w:p>
    <w:p w14:paraId="205D8814" w14:textId="77777777" w:rsidR="001E24D2" w:rsidRDefault="001E24D2" w:rsidP="00996963">
      <w:pPr>
        <w:pStyle w:val="NormalWeb"/>
        <w:spacing w:before="0"/>
      </w:pPr>
    </w:p>
    <w:p w14:paraId="3F3A3351" w14:textId="77777777" w:rsidR="008D6663" w:rsidRDefault="008D6663" w:rsidP="00996963">
      <w:pPr>
        <w:pStyle w:val="NormalWeb"/>
        <w:spacing w:before="0"/>
      </w:pPr>
    </w:p>
    <w:p w14:paraId="36CF9247" w14:textId="77777777" w:rsidR="00996963" w:rsidRDefault="00FD2F83" w:rsidP="00996963">
      <w:pPr>
        <w:pStyle w:val="NormalWeb"/>
        <w:spacing w:before="0"/>
      </w:pPr>
      <w:r w:rsidRPr="00FD2F83">
        <w:rPr>
          <w:noProof/>
          <w:lang w:val="es-CR" w:eastAsia="es-CR"/>
        </w:rPr>
        <w:drawing>
          <wp:anchor distT="0" distB="0" distL="114300" distR="114300" simplePos="0" relativeHeight="251858944" behindDoc="0" locked="0" layoutInCell="1" allowOverlap="1" wp14:anchorId="13BAC94D" wp14:editId="7FC95195">
            <wp:simplePos x="0" y="0"/>
            <wp:positionH relativeFrom="margin">
              <wp:align>left</wp:align>
            </wp:positionH>
            <wp:positionV relativeFrom="paragraph">
              <wp:posOffset>339725</wp:posOffset>
            </wp:positionV>
            <wp:extent cx="5827395" cy="3718560"/>
            <wp:effectExtent l="0" t="0" r="190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7395" cy="3718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6963">
        <w:rPr>
          <w:rFonts w:ascii="Arial" w:hAnsi="Arial" w:cs="Arial"/>
          <w:b/>
          <w:bCs/>
          <w:sz w:val="22"/>
          <w:szCs w:val="22"/>
        </w:rPr>
        <w:t>Tabla 4</w:t>
      </w:r>
    </w:p>
    <w:p w14:paraId="542B7E31" w14:textId="77777777" w:rsidR="00996963" w:rsidRDefault="00996963" w:rsidP="00996963">
      <w:pPr>
        <w:pStyle w:val="NormalWeb"/>
      </w:pPr>
    </w:p>
    <w:p w14:paraId="2394F3D2" w14:textId="77777777" w:rsidR="003C11E0" w:rsidRDefault="003C11E0" w:rsidP="001E24D2">
      <w:pPr>
        <w:pStyle w:val="Textoindependiente21"/>
        <w:spacing w:before="100"/>
        <w:rPr>
          <w:rFonts w:ascii="Arial" w:hAnsi="Arial" w:cs="Arial"/>
          <w:b/>
          <w:sz w:val="22"/>
          <w:szCs w:val="22"/>
        </w:rPr>
      </w:pPr>
    </w:p>
    <w:p w14:paraId="245A86D9" w14:textId="77777777" w:rsidR="0044447E" w:rsidRDefault="0044447E" w:rsidP="0044447E">
      <w:pPr>
        <w:pStyle w:val="Textoindependiente21"/>
        <w:spacing w:before="100"/>
        <w:rPr>
          <w:rFonts w:ascii="Arial" w:hAnsi="Arial" w:cs="Arial"/>
          <w:b/>
          <w:sz w:val="22"/>
          <w:szCs w:val="22"/>
        </w:rPr>
      </w:pPr>
    </w:p>
    <w:p w14:paraId="3FF3F837" w14:textId="77777777" w:rsidR="001F3044" w:rsidRDefault="001F3044" w:rsidP="0044447E">
      <w:pPr>
        <w:pStyle w:val="Textoindependiente21"/>
        <w:spacing w:before="100"/>
        <w:rPr>
          <w:rFonts w:ascii="Arial" w:hAnsi="Arial" w:cs="Arial"/>
          <w:b/>
          <w:sz w:val="22"/>
          <w:szCs w:val="22"/>
        </w:rPr>
      </w:pPr>
    </w:p>
    <w:p w14:paraId="0D863777" w14:textId="77777777" w:rsidR="001F3044" w:rsidRDefault="001F3044" w:rsidP="0044447E">
      <w:pPr>
        <w:pStyle w:val="Textoindependiente21"/>
        <w:spacing w:before="100"/>
        <w:rPr>
          <w:rFonts w:ascii="Arial" w:hAnsi="Arial" w:cs="Arial"/>
          <w:b/>
          <w:sz w:val="22"/>
          <w:szCs w:val="22"/>
        </w:rPr>
      </w:pPr>
    </w:p>
    <w:p w14:paraId="710A8FC4" w14:textId="77777777" w:rsidR="001F3044" w:rsidRDefault="001F3044" w:rsidP="0044447E">
      <w:pPr>
        <w:pStyle w:val="Textoindependiente21"/>
        <w:spacing w:before="100"/>
        <w:rPr>
          <w:rFonts w:ascii="Arial" w:hAnsi="Arial" w:cs="Arial"/>
          <w:b/>
          <w:sz w:val="22"/>
          <w:szCs w:val="22"/>
        </w:rPr>
      </w:pPr>
    </w:p>
    <w:p w14:paraId="3D3A539B" w14:textId="77777777" w:rsidR="001F3044" w:rsidRDefault="001F3044" w:rsidP="0044447E">
      <w:pPr>
        <w:pStyle w:val="Textoindependiente21"/>
        <w:spacing w:before="100"/>
        <w:rPr>
          <w:rFonts w:ascii="Arial" w:hAnsi="Arial" w:cs="Arial"/>
          <w:b/>
          <w:sz w:val="22"/>
          <w:szCs w:val="22"/>
        </w:rPr>
      </w:pPr>
    </w:p>
    <w:p w14:paraId="01A62F77" w14:textId="77777777" w:rsidR="001F3044" w:rsidRDefault="001F3044" w:rsidP="0044447E">
      <w:pPr>
        <w:pStyle w:val="Textoindependiente21"/>
        <w:spacing w:before="100"/>
        <w:rPr>
          <w:rFonts w:ascii="Arial" w:hAnsi="Arial" w:cs="Arial"/>
          <w:b/>
          <w:sz w:val="22"/>
          <w:szCs w:val="22"/>
        </w:rPr>
      </w:pPr>
    </w:p>
    <w:p w14:paraId="5F7786A6" w14:textId="77777777" w:rsidR="001F3044" w:rsidRDefault="001F3044" w:rsidP="0044447E">
      <w:pPr>
        <w:pStyle w:val="Textoindependiente21"/>
        <w:spacing w:before="100"/>
        <w:rPr>
          <w:rFonts w:ascii="Arial" w:hAnsi="Arial" w:cs="Arial"/>
          <w:b/>
          <w:sz w:val="22"/>
          <w:szCs w:val="22"/>
        </w:rPr>
      </w:pPr>
    </w:p>
    <w:p w14:paraId="077584C5" w14:textId="77777777" w:rsidR="001F3044" w:rsidRPr="001F3044" w:rsidRDefault="001F3044" w:rsidP="001F3044">
      <w:pPr>
        <w:pStyle w:val="Textoindependiente21"/>
        <w:spacing w:before="100"/>
        <w:jc w:val="right"/>
        <w:rPr>
          <w:rFonts w:ascii="Arial" w:hAnsi="Arial" w:cs="Arial"/>
          <w:sz w:val="22"/>
          <w:szCs w:val="22"/>
        </w:rPr>
      </w:pPr>
      <w:r w:rsidRPr="001F3044">
        <w:rPr>
          <w:rFonts w:ascii="Arial" w:hAnsi="Arial" w:cs="Arial"/>
          <w:sz w:val="22"/>
          <w:szCs w:val="22"/>
        </w:rPr>
        <w:t>36</w:t>
      </w:r>
    </w:p>
    <w:p w14:paraId="42733F2D" w14:textId="77777777" w:rsidR="00EB1ACE" w:rsidRDefault="00EB1ACE" w:rsidP="0044447E">
      <w:pPr>
        <w:pStyle w:val="Textoindependiente21"/>
        <w:spacing w:before="100"/>
        <w:rPr>
          <w:rFonts w:ascii="Arial" w:hAnsi="Arial" w:cs="Arial"/>
          <w:b/>
          <w:sz w:val="22"/>
          <w:szCs w:val="22"/>
        </w:rPr>
      </w:pPr>
    </w:p>
    <w:p w14:paraId="5A4B715F" w14:textId="77777777" w:rsidR="00D215AE" w:rsidRPr="001E24D2" w:rsidRDefault="00082F66" w:rsidP="0044447E">
      <w:pPr>
        <w:pStyle w:val="Textoindependiente21"/>
        <w:spacing w:before="100"/>
        <w:jc w:val="center"/>
        <w:rPr>
          <w:rFonts w:ascii="Arial" w:hAnsi="Arial" w:cs="Arial"/>
          <w:b/>
          <w:sz w:val="22"/>
          <w:szCs w:val="22"/>
        </w:rPr>
      </w:pPr>
      <w:r w:rsidRPr="001E24D2">
        <w:rPr>
          <w:rFonts w:ascii="Arial" w:hAnsi="Arial" w:cs="Arial"/>
          <w:b/>
          <w:sz w:val="22"/>
          <w:szCs w:val="22"/>
        </w:rPr>
        <w:t>ANÁLISI</w:t>
      </w:r>
      <w:r w:rsidR="00DB5391">
        <w:rPr>
          <w:rFonts w:ascii="Arial" w:hAnsi="Arial" w:cs="Arial"/>
          <w:b/>
          <w:sz w:val="22"/>
          <w:szCs w:val="22"/>
        </w:rPr>
        <w:t>S DE FLUJO DE CAJA AL 31 DE DIC</w:t>
      </w:r>
      <w:r w:rsidR="00330A0C" w:rsidRPr="001E24D2">
        <w:rPr>
          <w:rFonts w:ascii="Arial" w:hAnsi="Arial" w:cs="Arial"/>
          <w:b/>
          <w:sz w:val="22"/>
          <w:szCs w:val="22"/>
        </w:rPr>
        <w:t>IEMBRE</w:t>
      </w:r>
      <w:r w:rsidR="00D215AE" w:rsidRPr="001E24D2">
        <w:rPr>
          <w:rFonts w:ascii="Arial" w:hAnsi="Arial" w:cs="Arial"/>
          <w:b/>
          <w:sz w:val="22"/>
          <w:szCs w:val="22"/>
        </w:rPr>
        <w:t xml:space="preserve"> 2018</w:t>
      </w:r>
    </w:p>
    <w:p w14:paraId="1B49230E" w14:textId="77777777" w:rsidR="00D215AE" w:rsidRPr="00082F66" w:rsidRDefault="00D215AE" w:rsidP="00D215AE">
      <w:pPr>
        <w:pStyle w:val="Textoindependiente21"/>
        <w:spacing w:before="100"/>
        <w:rPr>
          <w:rFonts w:ascii="Arial" w:hAnsi="Arial" w:cs="Arial"/>
          <w:color w:val="FF0000"/>
          <w:sz w:val="22"/>
          <w:szCs w:val="22"/>
        </w:rPr>
      </w:pPr>
    </w:p>
    <w:p w14:paraId="5FD285E2" w14:textId="77777777" w:rsidR="00D215AE" w:rsidRPr="00082F66" w:rsidRDefault="00D215AE" w:rsidP="00D215AE">
      <w:pPr>
        <w:pStyle w:val="Textoindependiente21"/>
        <w:spacing w:before="100"/>
        <w:rPr>
          <w:rFonts w:ascii="Arial" w:hAnsi="Arial" w:cs="Arial"/>
          <w:b/>
          <w:bCs/>
          <w:sz w:val="22"/>
          <w:szCs w:val="22"/>
        </w:rPr>
      </w:pPr>
      <w:r w:rsidRPr="00082F66">
        <w:rPr>
          <w:rFonts w:ascii="Arial" w:hAnsi="Arial" w:cs="Arial"/>
          <w:sz w:val="22"/>
          <w:szCs w:val="22"/>
        </w:rPr>
        <w:t>El análisis de Flujo de Caja es el siguiente:</w:t>
      </w:r>
    </w:p>
    <w:p w14:paraId="2A6718FA" w14:textId="77777777" w:rsidR="00D215AE" w:rsidRPr="00082F66" w:rsidRDefault="00D215AE" w:rsidP="00D215AE">
      <w:pPr>
        <w:pStyle w:val="Textoindependiente21"/>
        <w:spacing w:before="100"/>
        <w:rPr>
          <w:rFonts w:ascii="Arial" w:hAnsi="Arial" w:cs="Arial"/>
          <w:sz w:val="22"/>
          <w:szCs w:val="22"/>
        </w:rPr>
      </w:pPr>
    </w:p>
    <w:p w14:paraId="5035FB8C" w14:textId="77777777" w:rsidR="00D215AE" w:rsidRPr="00082F66" w:rsidRDefault="00D215AE" w:rsidP="00D215AE">
      <w:pPr>
        <w:pStyle w:val="Textoindependiente21"/>
        <w:spacing w:before="100"/>
        <w:rPr>
          <w:rFonts w:ascii="Arial" w:hAnsi="Arial" w:cs="Arial"/>
          <w:sz w:val="22"/>
          <w:szCs w:val="22"/>
        </w:rPr>
      </w:pPr>
      <w:r w:rsidRPr="00082F66">
        <w:rPr>
          <w:rFonts w:ascii="Arial" w:hAnsi="Arial" w:cs="Arial"/>
          <w:sz w:val="22"/>
          <w:szCs w:val="22"/>
        </w:rPr>
        <w:t>Ingresos y Gastos Corrientes</w:t>
      </w:r>
    </w:p>
    <w:p w14:paraId="420003B3" w14:textId="77777777" w:rsidR="00D215AE" w:rsidRPr="00082F66" w:rsidRDefault="00D215AE" w:rsidP="00D215AE">
      <w:pPr>
        <w:pStyle w:val="Standard"/>
        <w:jc w:val="center"/>
        <w:rPr>
          <w:rFonts w:ascii="Arial" w:hAnsi="Arial" w:cs="Arial"/>
          <w:b/>
          <w:sz w:val="22"/>
          <w:szCs w:val="22"/>
        </w:rPr>
      </w:pPr>
    </w:p>
    <w:p w14:paraId="159ABBB4" w14:textId="77777777" w:rsidR="00D215AE" w:rsidRPr="00082F66" w:rsidRDefault="00D215AE" w:rsidP="00D215AE">
      <w:pPr>
        <w:pStyle w:val="Standard"/>
        <w:jc w:val="both"/>
        <w:rPr>
          <w:rFonts w:ascii="Arial" w:hAnsi="Arial" w:cs="Arial"/>
          <w:sz w:val="22"/>
          <w:szCs w:val="22"/>
        </w:rPr>
      </w:pPr>
      <w:r w:rsidRPr="00082F66">
        <w:rPr>
          <w:rFonts w:ascii="Arial" w:hAnsi="Arial" w:cs="Arial"/>
          <w:b/>
          <w:sz w:val="22"/>
          <w:szCs w:val="22"/>
        </w:rPr>
        <w:t>Tabla 5</w:t>
      </w:r>
    </w:p>
    <w:p w14:paraId="6C1F9B6A" w14:textId="77777777" w:rsidR="00D215AE" w:rsidRDefault="00D215AE" w:rsidP="00D215AE">
      <w:pPr>
        <w:pStyle w:val="Standard"/>
        <w:jc w:val="both"/>
        <w:rPr>
          <w:color w:val="FF0000"/>
        </w:rPr>
      </w:pPr>
    </w:p>
    <w:p w14:paraId="139A2619" w14:textId="77777777" w:rsidR="00D215AE" w:rsidRDefault="00EB1ACE" w:rsidP="00D215AE">
      <w:pPr>
        <w:pStyle w:val="Standard"/>
        <w:jc w:val="both"/>
        <w:rPr>
          <w:rFonts w:ascii="Arial" w:hAnsi="Arial" w:cs="Arial"/>
          <w:b/>
          <w:color w:val="FF0000"/>
          <w:sz w:val="22"/>
          <w:szCs w:val="22"/>
        </w:rPr>
      </w:pPr>
      <w:r w:rsidRPr="0044447E">
        <w:rPr>
          <w:noProof/>
          <w:lang w:val="es-CR" w:eastAsia="es-CR"/>
        </w:rPr>
        <w:drawing>
          <wp:anchor distT="0" distB="0" distL="114300" distR="114300" simplePos="0" relativeHeight="251823104" behindDoc="0" locked="0" layoutInCell="1" allowOverlap="1" wp14:anchorId="694BAD53" wp14:editId="17452E15">
            <wp:simplePos x="0" y="0"/>
            <wp:positionH relativeFrom="margin">
              <wp:posOffset>-211455</wp:posOffset>
            </wp:positionH>
            <wp:positionV relativeFrom="paragraph">
              <wp:posOffset>168275</wp:posOffset>
            </wp:positionV>
            <wp:extent cx="6452870" cy="4160520"/>
            <wp:effectExtent l="0" t="0" r="508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52870" cy="4160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B458D6" w14:textId="77777777" w:rsidR="00D215AE" w:rsidRDefault="00D215AE" w:rsidP="00D215AE">
      <w:pPr>
        <w:pStyle w:val="Standard"/>
        <w:jc w:val="both"/>
        <w:rPr>
          <w:rFonts w:ascii="Arial" w:hAnsi="Arial" w:cs="Arial"/>
          <w:b/>
          <w:color w:val="FF0000"/>
          <w:sz w:val="22"/>
          <w:szCs w:val="22"/>
        </w:rPr>
      </w:pPr>
    </w:p>
    <w:p w14:paraId="70C0D5B8" w14:textId="77777777" w:rsidR="0044447E" w:rsidRDefault="0044447E" w:rsidP="00D215AE">
      <w:pPr>
        <w:pStyle w:val="Standard"/>
        <w:jc w:val="both"/>
        <w:rPr>
          <w:rFonts w:ascii="Arial" w:hAnsi="Arial" w:cs="Arial"/>
          <w:b/>
          <w:color w:val="FF0000"/>
          <w:sz w:val="22"/>
          <w:szCs w:val="22"/>
        </w:rPr>
      </w:pPr>
    </w:p>
    <w:p w14:paraId="30D3D4BA" w14:textId="77777777" w:rsidR="0044447E" w:rsidRDefault="0044447E" w:rsidP="00D215AE">
      <w:pPr>
        <w:pStyle w:val="Standard"/>
        <w:jc w:val="both"/>
        <w:rPr>
          <w:rFonts w:ascii="Arial" w:hAnsi="Arial" w:cs="Arial"/>
          <w:b/>
          <w:color w:val="FF0000"/>
          <w:sz w:val="22"/>
          <w:szCs w:val="22"/>
        </w:rPr>
      </w:pPr>
    </w:p>
    <w:p w14:paraId="4994B82A" w14:textId="77777777" w:rsidR="00D215AE" w:rsidRDefault="00D215AE" w:rsidP="00D215AE">
      <w:pPr>
        <w:pStyle w:val="Standard"/>
        <w:jc w:val="both"/>
        <w:rPr>
          <w:rFonts w:ascii="Arial" w:hAnsi="Arial" w:cs="Arial"/>
          <w:b/>
          <w:color w:val="FF0000"/>
          <w:sz w:val="22"/>
          <w:szCs w:val="22"/>
        </w:rPr>
      </w:pPr>
    </w:p>
    <w:p w14:paraId="6969FFDE" w14:textId="77777777" w:rsidR="00D215AE" w:rsidRDefault="00D215AE" w:rsidP="00D215AE">
      <w:pPr>
        <w:pStyle w:val="Standard"/>
        <w:jc w:val="both"/>
        <w:rPr>
          <w:rFonts w:ascii="Arial" w:hAnsi="Arial" w:cs="Arial"/>
          <w:b/>
          <w:color w:val="FF0000"/>
          <w:sz w:val="22"/>
          <w:szCs w:val="22"/>
        </w:rPr>
      </w:pPr>
    </w:p>
    <w:p w14:paraId="2289D4F9" w14:textId="77777777" w:rsidR="00D215AE" w:rsidRDefault="00D215AE" w:rsidP="00D215AE">
      <w:pPr>
        <w:pStyle w:val="Standard"/>
        <w:jc w:val="both"/>
        <w:rPr>
          <w:rFonts w:ascii="Arial" w:hAnsi="Arial" w:cs="Arial"/>
          <w:b/>
          <w:color w:val="FF0000"/>
          <w:sz w:val="22"/>
          <w:szCs w:val="22"/>
        </w:rPr>
      </w:pPr>
    </w:p>
    <w:p w14:paraId="1CBC0876" w14:textId="77777777" w:rsidR="00D215AE" w:rsidRDefault="00D215AE" w:rsidP="00D215AE">
      <w:pPr>
        <w:pStyle w:val="Standard"/>
        <w:jc w:val="both"/>
        <w:rPr>
          <w:rFonts w:ascii="Arial" w:hAnsi="Arial" w:cs="Arial"/>
          <w:b/>
          <w:color w:val="FF0000"/>
          <w:sz w:val="22"/>
          <w:szCs w:val="22"/>
        </w:rPr>
      </w:pPr>
    </w:p>
    <w:p w14:paraId="749D4C97" w14:textId="77777777" w:rsidR="0073463B" w:rsidRDefault="0073463B" w:rsidP="00D215AE">
      <w:pPr>
        <w:pStyle w:val="Standard"/>
        <w:jc w:val="both"/>
        <w:rPr>
          <w:rFonts w:ascii="Arial" w:hAnsi="Arial" w:cs="Arial"/>
          <w:noProof/>
          <w:color w:val="FF0000"/>
          <w:sz w:val="22"/>
          <w:szCs w:val="22"/>
          <w:lang w:val="es-CR" w:eastAsia="es-CR"/>
        </w:rPr>
      </w:pPr>
    </w:p>
    <w:p w14:paraId="51901FC3" w14:textId="77777777" w:rsidR="0073463B" w:rsidRPr="001F3044" w:rsidRDefault="001F3044" w:rsidP="001F3044">
      <w:pPr>
        <w:pStyle w:val="Standard"/>
        <w:jc w:val="right"/>
        <w:rPr>
          <w:rFonts w:ascii="Arial" w:hAnsi="Arial" w:cs="Arial"/>
          <w:noProof/>
          <w:sz w:val="22"/>
          <w:szCs w:val="22"/>
          <w:lang w:val="es-CR" w:eastAsia="es-CR"/>
        </w:rPr>
      </w:pPr>
      <w:r w:rsidRPr="001F3044">
        <w:rPr>
          <w:rFonts w:ascii="Arial" w:hAnsi="Arial" w:cs="Arial"/>
          <w:noProof/>
          <w:sz w:val="22"/>
          <w:szCs w:val="22"/>
          <w:lang w:val="es-CR" w:eastAsia="es-CR"/>
        </w:rPr>
        <w:t>37</w:t>
      </w:r>
    </w:p>
    <w:p w14:paraId="211F4CB1" w14:textId="77777777" w:rsidR="0073463B" w:rsidRDefault="0073463B" w:rsidP="00D215AE">
      <w:pPr>
        <w:pStyle w:val="Standard"/>
        <w:jc w:val="both"/>
        <w:rPr>
          <w:rFonts w:ascii="Arial" w:hAnsi="Arial" w:cs="Arial"/>
          <w:noProof/>
          <w:color w:val="FF0000"/>
          <w:sz w:val="22"/>
          <w:szCs w:val="22"/>
          <w:lang w:val="es-CR" w:eastAsia="es-CR"/>
        </w:rPr>
      </w:pPr>
    </w:p>
    <w:p w14:paraId="48CDD567" w14:textId="77777777" w:rsidR="00D215AE" w:rsidRPr="0073463B" w:rsidRDefault="00594CE1" w:rsidP="00D215AE">
      <w:pPr>
        <w:pStyle w:val="Standard"/>
        <w:jc w:val="both"/>
        <w:rPr>
          <w:rFonts w:ascii="Arial" w:hAnsi="Arial" w:cs="Arial"/>
          <w:b/>
          <w:sz w:val="22"/>
          <w:szCs w:val="22"/>
        </w:rPr>
      </w:pPr>
      <w:r>
        <w:rPr>
          <w:rFonts w:ascii="Arial" w:hAnsi="Arial" w:cs="Arial"/>
          <w:b/>
          <w:sz w:val="22"/>
          <w:szCs w:val="22"/>
        </w:rPr>
        <w:t>Gráfico 20</w:t>
      </w:r>
    </w:p>
    <w:p w14:paraId="1B80A59D" w14:textId="77777777" w:rsidR="0073463B" w:rsidRDefault="0044447E" w:rsidP="00D215AE">
      <w:pPr>
        <w:pStyle w:val="Standard"/>
        <w:jc w:val="both"/>
      </w:pPr>
      <w:r w:rsidRPr="0044447E">
        <w:rPr>
          <w:noProof/>
          <w:lang w:val="es-CR" w:eastAsia="es-CR"/>
        </w:rPr>
        <w:drawing>
          <wp:anchor distT="0" distB="0" distL="114300" distR="114300" simplePos="0" relativeHeight="251824128" behindDoc="0" locked="0" layoutInCell="1" allowOverlap="1" wp14:anchorId="5405A8CE" wp14:editId="7829C41E">
            <wp:simplePos x="0" y="0"/>
            <wp:positionH relativeFrom="margin">
              <wp:align>left</wp:align>
            </wp:positionH>
            <wp:positionV relativeFrom="paragraph">
              <wp:posOffset>174625</wp:posOffset>
            </wp:positionV>
            <wp:extent cx="3321050" cy="2110740"/>
            <wp:effectExtent l="0" t="0" r="0" b="381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21050" cy="2110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5E3FAB" w14:textId="77777777" w:rsidR="0044447E" w:rsidRPr="0044447E" w:rsidRDefault="0044447E" w:rsidP="0044447E">
      <w:pPr>
        <w:tabs>
          <w:tab w:val="left" w:pos="284"/>
        </w:tabs>
        <w:spacing w:before="0" w:beforeAutospacing="0" w:after="0" w:afterAutospacing="0" w:line="240" w:lineRule="auto"/>
        <w:ind w:right="21"/>
        <w:rPr>
          <w:rFonts w:ascii="Arial" w:hAnsi="Arial" w:cs="Arial"/>
          <w:bCs/>
        </w:rPr>
      </w:pPr>
      <w:r w:rsidRPr="0044447E">
        <w:rPr>
          <w:rFonts w:ascii="Arial" w:hAnsi="Arial" w:cs="Arial"/>
          <w:bCs/>
        </w:rPr>
        <w:t>El saldo inicial de caja ajustado para el periodo 2018 es de ¢36.881.08 millones. Los ingresos por venta de servicios al 31/12/2018 ascienden a ¢149.031.08 millones, suma que incluye los ingresos por la tarifa de Hidrantes que ascienden a ¢3.516.92 millones. Por Ingresos Financieros y Otros se ha percibido en ese mismo periodo el monto de ¢3.231.54 millones que se desglosan de la siguiente manera: ¢1.980.53 millones por intereses sobre saldos en cuentas corrientes, convenios municipales y títulos valores; ¢1.56 millones valoración título Setena, ¢1.07 millones apertura cuenta corriente de Gestión Ambiental, ¢239.06 millones en el rubro de Ingresos por Devolución del 2% por retenciones de renta, ¢44.03 millones Recuperación de años anteriores y Otros Ingresos ¢819.44 millones (plantas tratamiento, cuentas a cobrar empleados, venta reactivos y chatarra), Ingresos por Sistemas Comunales Asumidos ¢86.60 millones y ¢60.12 millones correspondiente a la Concesión Neta en préstamos; mostrando un total de ingresos de ¢152.262.62 millones.</w:t>
      </w:r>
    </w:p>
    <w:p w14:paraId="07BD4F7A" w14:textId="77777777" w:rsidR="0044447E" w:rsidRPr="0044447E" w:rsidRDefault="0044447E" w:rsidP="0044447E">
      <w:pPr>
        <w:tabs>
          <w:tab w:val="left" w:pos="284"/>
        </w:tabs>
        <w:spacing w:before="0" w:beforeAutospacing="0" w:after="0" w:afterAutospacing="0" w:line="240" w:lineRule="auto"/>
        <w:ind w:right="21"/>
        <w:rPr>
          <w:rFonts w:ascii="Arial" w:hAnsi="Arial" w:cs="Arial"/>
          <w:bCs/>
        </w:rPr>
      </w:pPr>
      <w:r w:rsidRPr="0044447E">
        <w:rPr>
          <w:rFonts w:ascii="Arial" w:hAnsi="Arial" w:cs="Arial"/>
          <w:bCs/>
        </w:rPr>
        <w:t xml:space="preserve"> </w:t>
      </w:r>
    </w:p>
    <w:p w14:paraId="049EB252" w14:textId="77777777" w:rsidR="0044447E" w:rsidRPr="0044447E" w:rsidRDefault="0044447E" w:rsidP="0044447E">
      <w:pPr>
        <w:tabs>
          <w:tab w:val="left" w:pos="284"/>
        </w:tabs>
        <w:spacing w:before="0" w:beforeAutospacing="0" w:after="0" w:afterAutospacing="0" w:line="240" w:lineRule="auto"/>
        <w:ind w:right="21"/>
        <w:rPr>
          <w:rFonts w:ascii="Arial" w:hAnsi="Arial" w:cs="Arial"/>
          <w:bCs/>
        </w:rPr>
      </w:pPr>
      <w:r w:rsidRPr="0044447E">
        <w:rPr>
          <w:rFonts w:ascii="Arial" w:hAnsi="Arial" w:cs="Arial"/>
          <w:bCs/>
        </w:rPr>
        <w:t xml:space="preserve">La ejecución de ingresos por venta de servicios (¢149.031.08 millones) que incluye ¢3.516.92 millones por el servicio de Hidrantes, comparado con la estimación (¢149.393.05 millones), muestra una diferencia recibida de menos ¢361.97 millones. </w:t>
      </w:r>
    </w:p>
    <w:p w14:paraId="572BB3B4" w14:textId="77777777" w:rsidR="0044447E" w:rsidRPr="0044447E" w:rsidRDefault="0044447E" w:rsidP="0044447E">
      <w:pPr>
        <w:tabs>
          <w:tab w:val="left" w:pos="284"/>
        </w:tabs>
        <w:spacing w:before="0" w:beforeAutospacing="0" w:after="0" w:afterAutospacing="0" w:line="240" w:lineRule="auto"/>
        <w:ind w:right="21"/>
        <w:rPr>
          <w:rFonts w:ascii="Arial" w:hAnsi="Arial" w:cs="Arial"/>
          <w:bCs/>
        </w:rPr>
      </w:pPr>
    </w:p>
    <w:p w14:paraId="4299D7E8" w14:textId="77777777" w:rsidR="0044447E" w:rsidRPr="0044447E" w:rsidRDefault="0044447E" w:rsidP="0044447E">
      <w:pPr>
        <w:tabs>
          <w:tab w:val="left" w:pos="284"/>
        </w:tabs>
        <w:spacing w:before="0" w:beforeAutospacing="0" w:after="0" w:afterAutospacing="0" w:line="240" w:lineRule="auto"/>
        <w:ind w:right="21"/>
        <w:rPr>
          <w:rFonts w:ascii="Arial" w:hAnsi="Arial" w:cs="Arial"/>
          <w:bCs/>
        </w:rPr>
      </w:pPr>
      <w:r w:rsidRPr="0044447E">
        <w:rPr>
          <w:rFonts w:ascii="Arial" w:hAnsi="Arial" w:cs="Arial"/>
          <w:bCs/>
        </w:rPr>
        <w:t>Los egresos al 31/12/2018 ascienden a ¢155.731.53 millones suma que incluye ¢816.06 millones del Programa Hidrantes en Gastos de Operación y Mantenimiento y ¢1.927.45 millones en Inversión.  El total de egresos del periodo se distribuyen de la siguiente manera: 65.6% Gasto Corriente (¢102.131.65 millones), 27.2% Inversión en Contrapartidas y Otros Proyectos (¢42.462.41 millones), el Servicio de la Deuda por ¢11.137.47 millones (7.2%) y ajuste por variación en el tipo de cambio de más ¢179.52 millones.</w:t>
      </w:r>
    </w:p>
    <w:p w14:paraId="22FCBF1E" w14:textId="77777777" w:rsidR="0044447E" w:rsidRPr="0044447E" w:rsidRDefault="0044447E" w:rsidP="0044447E">
      <w:pPr>
        <w:tabs>
          <w:tab w:val="left" w:pos="284"/>
        </w:tabs>
        <w:spacing w:before="0" w:beforeAutospacing="0" w:after="0" w:afterAutospacing="0" w:line="240" w:lineRule="auto"/>
        <w:ind w:right="21"/>
        <w:rPr>
          <w:rFonts w:ascii="Arial" w:hAnsi="Arial" w:cs="Arial"/>
          <w:bCs/>
        </w:rPr>
      </w:pPr>
    </w:p>
    <w:p w14:paraId="553CA196" w14:textId="77777777" w:rsidR="0044447E" w:rsidRPr="0044447E" w:rsidRDefault="0044447E" w:rsidP="0044447E">
      <w:pPr>
        <w:tabs>
          <w:tab w:val="left" w:pos="284"/>
        </w:tabs>
        <w:spacing w:before="0" w:beforeAutospacing="0" w:after="0" w:afterAutospacing="0" w:line="240" w:lineRule="auto"/>
        <w:ind w:right="21"/>
        <w:rPr>
          <w:rFonts w:ascii="Arial" w:hAnsi="Arial" w:cs="Arial"/>
          <w:bCs/>
        </w:rPr>
      </w:pPr>
      <w:r w:rsidRPr="0044447E">
        <w:rPr>
          <w:rFonts w:ascii="Arial" w:hAnsi="Arial" w:cs="Arial"/>
          <w:bCs/>
        </w:rPr>
        <w:t>El total de egresos ejecutados al 31/12/2018 alcanzó un 79.37% en relación a la estimación de caja, quedando sin ejecutar la suma ¢40.487.11 millones.</w:t>
      </w:r>
    </w:p>
    <w:p w14:paraId="120FE078" w14:textId="77777777" w:rsidR="0044447E" w:rsidRPr="0044447E" w:rsidRDefault="0044447E" w:rsidP="0044447E">
      <w:pPr>
        <w:tabs>
          <w:tab w:val="left" w:pos="284"/>
        </w:tabs>
        <w:spacing w:before="0" w:beforeAutospacing="0" w:after="0" w:afterAutospacing="0" w:line="240" w:lineRule="auto"/>
        <w:ind w:right="21"/>
        <w:rPr>
          <w:rFonts w:ascii="Arial" w:hAnsi="Arial" w:cs="Arial"/>
          <w:bCs/>
        </w:rPr>
      </w:pPr>
    </w:p>
    <w:p w14:paraId="0623216E" w14:textId="77777777" w:rsidR="0073463B" w:rsidRPr="000766B5" w:rsidRDefault="0044447E" w:rsidP="0044447E">
      <w:pPr>
        <w:tabs>
          <w:tab w:val="left" w:pos="284"/>
        </w:tabs>
        <w:spacing w:before="0" w:beforeAutospacing="0" w:after="0" w:afterAutospacing="0" w:line="240" w:lineRule="auto"/>
        <w:ind w:right="21"/>
        <w:rPr>
          <w:rFonts w:ascii="Arial" w:hAnsi="Arial" w:cs="Arial"/>
          <w:bCs/>
        </w:rPr>
      </w:pPr>
      <w:r w:rsidRPr="0044447E">
        <w:rPr>
          <w:rFonts w:ascii="Arial" w:hAnsi="Arial" w:cs="Arial"/>
          <w:bCs/>
        </w:rPr>
        <w:t xml:space="preserve">El saldo final de caja 31 de diciembre del 2018 asciende a ¢33.591.69 millones mostrando una disminución de 8.9% con respecto al saldo </w:t>
      </w:r>
      <w:r>
        <w:rPr>
          <w:rFonts w:ascii="Arial" w:hAnsi="Arial" w:cs="Arial"/>
          <w:bCs/>
        </w:rPr>
        <w:t>inicial de caja de este período</w:t>
      </w:r>
      <w:r w:rsidR="00707ADD" w:rsidRPr="00707ADD">
        <w:rPr>
          <w:rFonts w:ascii="Arial" w:hAnsi="Arial" w:cs="Arial"/>
          <w:bCs/>
        </w:rPr>
        <w:t xml:space="preserve">.  </w:t>
      </w:r>
      <w:r w:rsidR="0073463B" w:rsidRPr="000766B5">
        <w:rPr>
          <w:rFonts w:ascii="Arial" w:hAnsi="Arial" w:cs="Arial"/>
          <w:bCs/>
        </w:rPr>
        <w:t xml:space="preserve">  </w:t>
      </w:r>
    </w:p>
    <w:p w14:paraId="0CC63788" w14:textId="77777777" w:rsidR="0073463B" w:rsidRPr="00557974" w:rsidRDefault="0073463B" w:rsidP="00557974">
      <w:pPr>
        <w:pStyle w:val="Standard"/>
        <w:rPr>
          <w:rFonts w:ascii="Arial" w:hAnsi="Arial" w:cs="Arial"/>
          <w:bCs/>
          <w:color w:val="FF0000"/>
          <w:sz w:val="22"/>
          <w:szCs w:val="22"/>
        </w:rPr>
      </w:pPr>
    </w:p>
    <w:p w14:paraId="2B4D0338" w14:textId="77777777" w:rsidR="00D215AE" w:rsidRPr="0073463B" w:rsidRDefault="00D215AE" w:rsidP="00557974">
      <w:pPr>
        <w:pStyle w:val="Standard"/>
        <w:jc w:val="both"/>
        <w:rPr>
          <w:rFonts w:ascii="Arial" w:hAnsi="Arial" w:cs="Arial"/>
          <w:sz w:val="22"/>
          <w:szCs w:val="22"/>
        </w:rPr>
      </w:pPr>
      <w:r w:rsidRPr="0073463B">
        <w:rPr>
          <w:rFonts w:ascii="Arial" w:hAnsi="Arial" w:cs="Arial"/>
          <w:sz w:val="22"/>
          <w:szCs w:val="22"/>
        </w:rPr>
        <w:t>En el cuadro anterior de fondos corrientes se incluye los ingresos y egresos del programa de hidrantes cuyo detalle se puede observar en la siguiente tabla:</w:t>
      </w:r>
    </w:p>
    <w:p w14:paraId="448158A1" w14:textId="77777777" w:rsidR="00D215AE" w:rsidRPr="00557974" w:rsidRDefault="00D215AE" w:rsidP="00557974">
      <w:pPr>
        <w:pStyle w:val="Standard"/>
        <w:jc w:val="both"/>
        <w:rPr>
          <w:rFonts w:ascii="Arial" w:hAnsi="Arial" w:cs="Arial"/>
          <w:color w:val="FF0000"/>
          <w:sz w:val="22"/>
          <w:szCs w:val="22"/>
        </w:rPr>
      </w:pPr>
    </w:p>
    <w:p w14:paraId="3131F7CC" w14:textId="77777777" w:rsidR="0073463B" w:rsidRDefault="0073463B" w:rsidP="00557974">
      <w:pPr>
        <w:pStyle w:val="Standard"/>
        <w:jc w:val="both"/>
        <w:rPr>
          <w:rFonts w:ascii="Arial" w:hAnsi="Arial" w:cs="Arial"/>
          <w:b/>
          <w:bCs/>
          <w:sz w:val="22"/>
          <w:szCs w:val="22"/>
        </w:rPr>
      </w:pPr>
    </w:p>
    <w:p w14:paraId="64FC28BF" w14:textId="77777777" w:rsidR="00393A4F" w:rsidRPr="001F3044" w:rsidRDefault="001F3044" w:rsidP="001F3044">
      <w:pPr>
        <w:pStyle w:val="Standard"/>
        <w:jc w:val="right"/>
        <w:rPr>
          <w:rFonts w:ascii="Arial" w:hAnsi="Arial" w:cs="Arial"/>
          <w:bCs/>
          <w:sz w:val="22"/>
          <w:szCs w:val="22"/>
        </w:rPr>
      </w:pPr>
      <w:r w:rsidRPr="001F3044">
        <w:rPr>
          <w:rFonts w:ascii="Arial" w:hAnsi="Arial" w:cs="Arial"/>
          <w:bCs/>
          <w:sz w:val="22"/>
          <w:szCs w:val="22"/>
        </w:rPr>
        <w:t>38</w:t>
      </w:r>
    </w:p>
    <w:p w14:paraId="38B406D9" w14:textId="77777777" w:rsidR="00D215AE" w:rsidRDefault="00393A4F" w:rsidP="00557974">
      <w:pPr>
        <w:pStyle w:val="Standard"/>
        <w:jc w:val="both"/>
        <w:rPr>
          <w:rFonts w:ascii="Arial" w:hAnsi="Arial" w:cs="Arial"/>
          <w:b/>
          <w:bCs/>
          <w:sz w:val="22"/>
          <w:szCs w:val="22"/>
        </w:rPr>
      </w:pPr>
      <w:r w:rsidRPr="00393A4F">
        <w:rPr>
          <w:noProof/>
          <w:lang w:val="es-CR" w:eastAsia="es-CR"/>
        </w:rPr>
        <w:lastRenderedPageBreak/>
        <w:drawing>
          <wp:anchor distT="0" distB="0" distL="114300" distR="114300" simplePos="0" relativeHeight="251832320" behindDoc="0" locked="0" layoutInCell="1" allowOverlap="1" wp14:anchorId="7555B891" wp14:editId="749694AC">
            <wp:simplePos x="0" y="0"/>
            <wp:positionH relativeFrom="margin">
              <wp:align>left</wp:align>
            </wp:positionH>
            <wp:positionV relativeFrom="paragraph">
              <wp:posOffset>320040</wp:posOffset>
            </wp:positionV>
            <wp:extent cx="5722620" cy="286512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2620" cy="2865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15AE" w:rsidRPr="00393A4F">
        <w:rPr>
          <w:rFonts w:ascii="Arial" w:hAnsi="Arial" w:cs="Arial"/>
          <w:b/>
          <w:bCs/>
          <w:sz w:val="22"/>
          <w:szCs w:val="22"/>
        </w:rPr>
        <w:t>Tabla 6</w:t>
      </w:r>
    </w:p>
    <w:p w14:paraId="6D77760A" w14:textId="77777777" w:rsidR="0073463B" w:rsidRDefault="0073463B" w:rsidP="00557974">
      <w:pPr>
        <w:pStyle w:val="Standard"/>
        <w:jc w:val="both"/>
        <w:rPr>
          <w:rFonts w:ascii="Arial" w:hAnsi="Arial" w:cs="Arial"/>
          <w:b/>
          <w:bCs/>
          <w:sz w:val="22"/>
          <w:szCs w:val="22"/>
        </w:rPr>
      </w:pPr>
    </w:p>
    <w:p w14:paraId="1AF85B37" w14:textId="77777777" w:rsidR="00393A4F" w:rsidRDefault="00393A4F" w:rsidP="00557974">
      <w:pPr>
        <w:pStyle w:val="Standard"/>
        <w:jc w:val="both"/>
        <w:rPr>
          <w:rFonts w:ascii="Arial" w:hAnsi="Arial" w:cs="Arial"/>
          <w:b/>
          <w:bCs/>
          <w:sz w:val="22"/>
          <w:szCs w:val="22"/>
        </w:rPr>
      </w:pPr>
    </w:p>
    <w:p w14:paraId="44D010F1" w14:textId="77777777" w:rsidR="00D215AE" w:rsidRPr="00BF0934" w:rsidRDefault="00D215AE" w:rsidP="00BF0934">
      <w:pPr>
        <w:pStyle w:val="Standard"/>
        <w:jc w:val="both"/>
        <w:rPr>
          <w:rFonts w:ascii="Arial" w:hAnsi="Arial" w:cs="Arial"/>
          <w:b/>
          <w:sz w:val="22"/>
          <w:szCs w:val="22"/>
        </w:rPr>
      </w:pPr>
      <w:r w:rsidRPr="00BF0934">
        <w:rPr>
          <w:rFonts w:ascii="Arial" w:hAnsi="Arial" w:cs="Arial"/>
          <w:b/>
          <w:sz w:val="22"/>
          <w:szCs w:val="22"/>
        </w:rPr>
        <w:t>Ejecución de Caja Programa de Hidrantes</w:t>
      </w:r>
    </w:p>
    <w:p w14:paraId="7D26BDB8" w14:textId="77777777" w:rsidR="0073463B" w:rsidRPr="00BF0934" w:rsidRDefault="0073463B" w:rsidP="00BF0934">
      <w:pPr>
        <w:pStyle w:val="Standard"/>
        <w:jc w:val="both"/>
        <w:rPr>
          <w:rFonts w:ascii="Arial" w:hAnsi="Arial" w:cs="Arial"/>
          <w:b/>
          <w:sz w:val="22"/>
          <w:szCs w:val="22"/>
        </w:rPr>
      </w:pPr>
    </w:p>
    <w:p w14:paraId="524949AF" w14:textId="77777777" w:rsidR="0044447E" w:rsidRPr="0044447E" w:rsidRDefault="0044447E" w:rsidP="0044447E">
      <w:pPr>
        <w:pStyle w:val="Standard"/>
        <w:jc w:val="both"/>
        <w:rPr>
          <w:rFonts w:ascii="Arial" w:eastAsiaTheme="minorHAnsi" w:hAnsi="Arial" w:cs="Arial"/>
          <w:kern w:val="0"/>
          <w:sz w:val="22"/>
          <w:szCs w:val="22"/>
          <w:lang w:val="es-CR" w:eastAsia="en-US"/>
        </w:rPr>
      </w:pPr>
      <w:r w:rsidRPr="0044447E">
        <w:rPr>
          <w:rFonts w:ascii="Arial" w:eastAsiaTheme="minorHAnsi" w:hAnsi="Arial" w:cs="Arial"/>
          <w:kern w:val="0"/>
          <w:sz w:val="22"/>
          <w:szCs w:val="22"/>
          <w:lang w:val="es-CR" w:eastAsia="en-US"/>
        </w:rPr>
        <w:t>El Saldo Inicial de Caja para el periodo 2018 del Programa de Hidrantes es de ¢1,966.95 millones.</w:t>
      </w:r>
    </w:p>
    <w:p w14:paraId="609C9291" w14:textId="77777777" w:rsidR="0044447E" w:rsidRPr="0044447E" w:rsidRDefault="0044447E" w:rsidP="0044447E">
      <w:pPr>
        <w:pStyle w:val="Standard"/>
        <w:jc w:val="both"/>
        <w:rPr>
          <w:rFonts w:ascii="Arial" w:eastAsiaTheme="minorHAnsi" w:hAnsi="Arial" w:cs="Arial"/>
          <w:kern w:val="0"/>
          <w:sz w:val="22"/>
          <w:szCs w:val="22"/>
          <w:lang w:val="es-CR" w:eastAsia="en-US"/>
        </w:rPr>
      </w:pPr>
    </w:p>
    <w:p w14:paraId="71AFB644" w14:textId="77777777" w:rsidR="0044447E" w:rsidRPr="0044447E" w:rsidRDefault="0044447E" w:rsidP="0044447E">
      <w:pPr>
        <w:pStyle w:val="Standard"/>
        <w:jc w:val="both"/>
        <w:rPr>
          <w:rFonts w:ascii="Arial" w:eastAsiaTheme="minorHAnsi" w:hAnsi="Arial" w:cs="Arial"/>
          <w:kern w:val="0"/>
          <w:sz w:val="22"/>
          <w:szCs w:val="22"/>
          <w:lang w:val="es-CR" w:eastAsia="en-US"/>
        </w:rPr>
      </w:pPr>
      <w:r w:rsidRPr="0044447E">
        <w:rPr>
          <w:rFonts w:ascii="Arial" w:eastAsiaTheme="minorHAnsi" w:hAnsi="Arial" w:cs="Arial"/>
          <w:kern w:val="0"/>
          <w:sz w:val="22"/>
          <w:szCs w:val="22"/>
          <w:lang w:val="es-CR" w:eastAsia="en-US"/>
        </w:rPr>
        <w:t xml:space="preserve">Los ingresos por recaudación correspondientes a la tarifa de hidrantes al 31 de diciembre de 2018 ascienden a ¢3,516.92 millones, mostrándose una diferencia de ¢24.26 millones de más en relación con el monto estimado que es de ¢3,492.66 millones. Por Ingresos Financieros y Otros se ha percibido en ese mismo periodo el monto de ¢133.32 millones que se desglosan de la siguiente manera: ¢110.44 millones por intereses sobre Títulos Valores, ¢4.78 millones en el rubro de Ingresos Devolución 2% de Renta, ¢18.10 millones en otros ingresos. </w:t>
      </w:r>
    </w:p>
    <w:p w14:paraId="7CF036A0" w14:textId="77777777" w:rsidR="0044447E" w:rsidRPr="0044447E" w:rsidRDefault="0044447E" w:rsidP="0044447E">
      <w:pPr>
        <w:pStyle w:val="Standard"/>
        <w:jc w:val="both"/>
        <w:rPr>
          <w:rFonts w:ascii="Arial" w:eastAsiaTheme="minorHAnsi" w:hAnsi="Arial" w:cs="Arial"/>
          <w:kern w:val="0"/>
          <w:sz w:val="22"/>
          <w:szCs w:val="22"/>
          <w:lang w:val="es-CR" w:eastAsia="en-US"/>
        </w:rPr>
      </w:pPr>
    </w:p>
    <w:p w14:paraId="266C95EE" w14:textId="77777777" w:rsidR="0044447E" w:rsidRPr="0044447E" w:rsidRDefault="0044447E" w:rsidP="0044447E">
      <w:pPr>
        <w:pStyle w:val="Standard"/>
        <w:jc w:val="both"/>
        <w:rPr>
          <w:rFonts w:ascii="Arial" w:eastAsiaTheme="minorHAnsi" w:hAnsi="Arial" w:cs="Arial"/>
          <w:kern w:val="0"/>
          <w:sz w:val="22"/>
          <w:szCs w:val="22"/>
          <w:lang w:val="es-CR" w:eastAsia="en-US"/>
        </w:rPr>
      </w:pPr>
      <w:r w:rsidRPr="0044447E">
        <w:rPr>
          <w:rFonts w:ascii="Arial" w:eastAsiaTheme="minorHAnsi" w:hAnsi="Arial" w:cs="Arial"/>
          <w:kern w:val="0"/>
          <w:sz w:val="22"/>
          <w:szCs w:val="22"/>
          <w:lang w:val="es-CR" w:eastAsia="en-US"/>
        </w:rPr>
        <w:t>En relación con el importe mensual correspondiente a la recaudación de ingresos provenientes de la tarifa de hidrantes, debe señalarse que esta información se obtiene una vez realizado el cierre mensual del proceso comercial el cual está programado para el día 7 del mes siguiente al que se realizan los ingresos.</w:t>
      </w:r>
    </w:p>
    <w:p w14:paraId="2EC0A467" w14:textId="77777777" w:rsidR="0044447E" w:rsidRPr="0044447E" w:rsidRDefault="0044447E" w:rsidP="0044447E">
      <w:pPr>
        <w:pStyle w:val="Standard"/>
        <w:jc w:val="both"/>
        <w:rPr>
          <w:rFonts w:ascii="Arial" w:eastAsiaTheme="minorHAnsi" w:hAnsi="Arial" w:cs="Arial"/>
          <w:kern w:val="0"/>
          <w:sz w:val="22"/>
          <w:szCs w:val="22"/>
          <w:lang w:val="es-CR" w:eastAsia="en-US"/>
        </w:rPr>
      </w:pPr>
    </w:p>
    <w:p w14:paraId="2F6FCE33" w14:textId="77777777" w:rsidR="0044447E" w:rsidRDefault="0044447E" w:rsidP="0044447E">
      <w:pPr>
        <w:pStyle w:val="Standard"/>
        <w:jc w:val="both"/>
        <w:rPr>
          <w:rFonts w:ascii="Arial" w:eastAsiaTheme="minorHAnsi" w:hAnsi="Arial" w:cs="Arial"/>
          <w:kern w:val="0"/>
          <w:sz w:val="22"/>
          <w:szCs w:val="22"/>
          <w:lang w:val="es-CR" w:eastAsia="en-US"/>
        </w:rPr>
      </w:pPr>
      <w:r w:rsidRPr="0044447E">
        <w:rPr>
          <w:rFonts w:ascii="Arial" w:eastAsiaTheme="minorHAnsi" w:hAnsi="Arial" w:cs="Arial"/>
          <w:kern w:val="0"/>
          <w:sz w:val="22"/>
          <w:szCs w:val="22"/>
          <w:lang w:val="es-CR" w:eastAsia="en-US"/>
        </w:rPr>
        <w:t xml:space="preserve">Los egresos estimados al 31 de diciembre de 2018 ascienden a ¢3,802.16 millones. La ejecución real acumulada al 31/12/2018 alcanzó la suma de ¢2,529.56 millones los cuales se desglosan de la siguiente manera: gastos de operación y mantenimiento ¢602.11 millones y ¢1,927.45 millones del plan de inversiones. </w:t>
      </w:r>
    </w:p>
    <w:p w14:paraId="6F4638A4" w14:textId="77777777" w:rsidR="0044447E" w:rsidRDefault="0044447E" w:rsidP="0044447E">
      <w:pPr>
        <w:pStyle w:val="Standard"/>
        <w:jc w:val="both"/>
        <w:rPr>
          <w:rFonts w:ascii="Arial" w:eastAsiaTheme="minorHAnsi" w:hAnsi="Arial" w:cs="Arial"/>
          <w:kern w:val="0"/>
          <w:sz w:val="22"/>
          <w:szCs w:val="22"/>
          <w:lang w:val="es-CR" w:eastAsia="en-US"/>
        </w:rPr>
      </w:pPr>
    </w:p>
    <w:p w14:paraId="73F7DBAB" w14:textId="77777777" w:rsidR="001F3044" w:rsidRDefault="001F3044" w:rsidP="0044447E">
      <w:pPr>
        <w:pStyle w:val="Standard"/>
        <w:jc w:val="both"/>
        <w:rPr>
          <w:rFonts w:ascii="Arial" w:eastAsiaTheme="minorHAnsi" w:hAnsi="Arial" w:cs="Arial"/>
          <w:kern w:val="0"/>
          <w:sz w:val="22"/>
          <w:szCs w:val="22"/>
          <w:lang w:val="es-CR" w:eastAsia="en-US"/>
        </w:rPr>
      </w:pPr>
    </w:p>
    <w:p w14:paraId="06B32523" w14:textId="77777777" w:rsidR="001F3044" w:rsidRDefault="001F3044" w:rsidP="001F3044">
      <w:pPr>
        <w:pStyle w:val="Standard"/>
        <w:jc w:val="right"/>
        <w:rPr>
          <w:rFonts w:ascii="Arial" w:eastAsiaTheme="minorHAnsi" w:hAnsi="Arial" w:cs="Arial"/>
          <w:kern w:val="0"/>
          <w:sz w:val="22"/>
          <w:szCs w:val="22"/>
          <w:lang w:val="es-CR" w:eastAsia="en-US"/>
        </w:rPr>
      </w:pPr>
      <w:r>
        <w:rPr>
          <w:rFonts w:ascii="Arial" w:eastAsiaTheme="minorHAnsi" w:hAnsi="Arial" w:cs="Arial"/>
          <w:kern w:val="0"/>
          <w:sz w:val="22"/>
          <w:szCs w:val="22"/>
          <w:lang w:val="es-CR" w:eastAsia="en-US"/>
        </w:rPr>
        <w:t>39</w:t>
      </w:r>
    </w:p>
    <w:p w14:paraId="21A4667D" w14:textId="77777777" w:rsidR="0044447E" w:rsidRDefault="0044447E" w:rsidP="0044447E">
      <w:pPr>
        <w:pStyle w:val="Standard"/>
        <w:jc w:val="both"/>
        <w:rPr>
          <w:rFonts w:ascii="Arial" w:eastAsiaTheme="minorHAnsi" w:hAnsi="Arial" w:cs="Arial"/>
          <w:kern w:val="0"/>
          <w:sz w:val="22"/>
          <w:szCs w:val="22"/>
          <w:lang w:val="es-CR" w:eastAsia="en-US"/>
        </w:rPr>
      </w:pPr>
      <w:r w:rsidRPr="0044447E">
        <w:rPr>
          <w:rFonts w:ascii="Arial" w:eastAsiaTheme="minorHAnsi" w:hAnsi="Arial" w:cs="Arial"/>
          <w:kern w:val="0"/>
          <w:sz w:val="22"/>
          <w:szCs w:val="22"/>
          <w:lang w:val="es-CR" w:eastAsia="en-US"/>
        </w:rPr>
        <w:lastRenderedPageBreak/>
        <w:t xml:space="preserve">El monto no ejecutado asciende a ¢1,272.61 millones (33.47%). El monto de ¢213.99 millones que se muestra en la línea de Gastos de Periodos Anteriores corresponde a gastos del periodo 2017, esto se debe que tras el análisis del Informe Anual del Programa de Hidrantes 2017, se concluye que se debe realizar un ajuste de ₡213.99 millones, según memorando GG-DF-2018-00192, por cuanto los gastos fueron asumidos por AYA siendo lo correcto por el Programa de Hidrantes, este rubro no se estima en la contabilidad presupuestaria. </w:t>
      </w:r>
    </w:p>
    <w:p w14:paraId="3AFC9AC8" w14:textId="77777777" w:rsidR="0044447E" w:rsidRPr="0044447E" w:rsidRDefault="0044447E" w:rsidP="0044447E">
      <w:pPr>
        <w:pStyle w:val="Standard"/>
        <w:jc w:val="both"/>
        <w:rPr>
          <w:rFonts w:ascii="Arial" w:eastAsiaTheme="minorHAnsi" w:hAnsi="Arial" w:cs="Arial"/>
          <w:kern w:val="0"/>
          <w:sz w:val="22"/>
          <w:szCs w:val="22"/>
          <w:lang w:val="es-CR" w:eastAsia="en-US"/>
        </w:rPr>
      </w:pPr>
    </w:p>
    <w:p w14:paraId="07CACE8A" w14:textId="77777777" w:rsidR="0044447E" w:rsidRPr="0044447E" w:rsidRDefault="0044447E" w:rsidP="0044447E">
      <w:pPr>
        <w:pStyle w:val="Standard"/>
        <w:jc w:val="both"/>
        <w:rPr>
          <w:rFonts w:ascii="Arial" w:eastAsiaTheme="minorHAnsi" w:hAnsi="Arial" w:cs="Arial"/>
          <w:kern w:val="0"/>
          <w:sz w:val="22"/>
          <w:szCs w:val="22"/>
          <w:lang w:val="es-CR" w:eastAsia="en-US"/>
        </w:rPr>
      </w:pPr>
      <w:r w:rsidRPr="0044447E">
        <w:rPr>
          <w:rFonts w:ascii="Arial" w:eastAsiaTheme="minorHAnsi" w:hAnsi="Arial" w:cs="Arial"/>
          <w:kern w:val="0"/>
          <w:sz w:val="22"/>
          <w:szCs w:val="22"/>
          <w:lang w:val="es-CR" w:eastAsia="en-US"/>
        </w:rPr>
        <w:t>Es importante mencionar que, al mes de diciembre de 2018, el Programa de Hidrantes mantiene ¢2,000.00 millones en instrumentos de alta liquidez, registrados con el documento de N°3118000229.</w:t>
      </w:r>
    </w:p>
    <w:p w14:paraId="0A623C7C" w14:textId="77777777" w:rsidR="0044447E" w:rsidRPr="0044447E" w:rsidRDefault="0044447E" w:rsidP="0044447E">
      <w:pPr>
        <w:pStyle w:val="Standard"/>
        <w:jc w:val="both"/>
        <w:rPr>
          <w:rFonts w:ascii="Arial" w:eastAsiaTheme="minorHAnsi" w:hAnsi="Arial" w:cs="Arial"/>
          <w:kern w:val="0"/>
          <w:sz w:val="22"/>
          <w:szCs w:val="22"/>
          <w:lang w:val="es-CR" w:eastAsia="en-US"/>
        </w:rPr>
      </w:pPr>
    </w:p>
    <w:p w14:paraId="75B704EF" w14:textId="77777777" w:rsidR="0044447E" w:rsidRPr="0044447E" w:rsidRDefault="0044447E" w:rsidP="0044447E">
      <w:pPr>
        <w:pStyle w:val="Standard"/>
        <w:jc w:val="both"/>
        <w:rPr>
          <w:rFonts w:ascii="Arial" w:eastAsiaTheme="minorHAnsi" w:hAnsi="Arial" w:cs="Arial"/>
          <w:kern w:val="0"/>
          <w:sz w:val="22"/>
          <w:szCs w:val="22"/>
          <w:lang w:val="es-CR" w:eastAsia="en-US"/>
        </w:rPr>
      </w:pPr>
      <w:r w:rsidRPr="0044447E">
        <w:rPr>
          <w:rFonts w:ascii="Arial" w:eastAsiaTheme="minorHAnsi" w:hAnsi="Arial" w:cs="Arial"/>
          <w:kern w:val="0"/>
          <w:sz w:val="22"/>
          <w:szCs w:val="22"/>
          <w:lang w:val="es-CR" w:eastAsia="en-US"/>
        </w:rPr>
        <w:t>El saldo final de caja al 31/12/2018 asciende a ₡2.864.93 millones.</w:t>
      </w:r>
    </w:p>
    <w:p w14:paraId="09454541" w14:textId="77777777" w:rsidR="001A0276" w:rsidRDefault="001A0276" w:rsidP="00BF0934">
      <w:pPr>
        <w:pStyle w:val="Standard"/>
        <w:jc w:val="both"/>
        <w:rPr>
          <w:rFonts w:ascii="Arial" w:eastAsiaTheme="minorHAnsi" w:hAnsi="Arial" w:cs="Arial"/>
          <w:kern w:val="0"/>
          <w:sz w:val="22"/>
          <w:szCs w:val="22"/>
          <w:lang w:val="es-CR" w:eastAsia="en-US"/>
        </w:rPr>
      </w:pPr>
    </w:p>
    <w:p w14:paraId="417E8EFA" w14:textId="77777777" w:rsidR="001A0276" w:rsidRDefault="001A0276" w:rsidP="00BF0934">
      <w:pPr>
        <w:pStyle w:val="Standard"/>
        <w:jc w:val="both"/>
        <w:rPr>
          <w:rFonts w:ascii="Arial" w:eastAsiaTheme="minorHAnsi" w:hAnsi="Arial" w:cs="Arial"/>
          <w:kern w:val="0"/>
          <w:sz w:val="22"/>
          <w:szCs w:val="22"/>
          <w:lang w:val="es-CR" w:eastAsia="en-US"/>
        </w:rPr>
      </w:pPr>
    </w:p>
    <w:p w14:paraId="2F3FE7C9" w14:textId="77777777" w:rsidR="00D215AE" w:rsidRPr="00557974" w:rsidRDefault="00D215AE" w:rsidP="00BF0934">
      <w:pPr>
        <w:pStyle w:val="Standard"/>
        <w:jc w:val="both"/>
        <w:rPr>
          <w:rFonts w:ascii="Arial" w:hAnsi="Arial" w:cs="Arial"/>
          <w:sz w:val="22"/>
          <w:szCs w:val="22"/>
        </w:rPr>
      </w:pPr>
      <w:r w:rsidRPr="00BF0934">
        <w:rPr>
          <w:rFonts w:ascii="Arial" w:hAnsi="Arial" w:cs="Arial"/>
          <w:b/>
          <w:sz w:val="22"/>
          <w:szCs w:val="22"/>
        </w:rPr>
        <w:t>Inversiones en Proyectos</w:t>
      </w:r>
    </w:p>
    <w:p w14:paraId="41ABD120" w14:textId="77777777" w:rsidR="00D215AE" w:rsidRPr="00557974" w:rsidRDefault="008F1B1F" w:rsidP="00557974">
      <w:pPr>
        <w:pStyle w:val="Standard"/>
        <w:jc w:val="both"/>
        <w:rPr>
          <w:rFonts w:ascii="Arial" w:hAnsi="Arial" w:cs="Arial"/>
          <w:b/>
          <w:color w:val="FF0000"/>
          <w:sz w:val="22"/>
          <w:szCs w:val="22"/>
        </w:rPr>
      </w:pPr>
      <w:r w:rsidRPr="008F1B1F">
        <w:rPr>
          <w:noProof/>
          <w:lang w:val="es-CR" w:eastAsia="es-CR"/>
        </w:rPr>
        <w:drawing>
          <wp:anchor distT="0" distB="0" distL="114300" distR="114300" simplePos="0" relativeHeight="251825152" behindDoc="0" locked="0" layoutInCell="1" allowOverlap="1" wp14:anchorId="4FD29061" wp14:editId="5BF9C9DB">
            <wp:simplePos x="0" y="0"/>
            <wp:positionH relativeFrom="column">
              <wp:posOffset>24765</wp:posOffset>
            </wp:positionH>
            <wp:positionV relativeFrom="paragraph">
              <wp:posOffset>195580</wp:posOffset>
            </wp:positionV>
            <wp:extent cx="5402580" cy="4145280"/>
            <wp:effectExtent l="0" t="0" r="7620" b="762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2580" cy="4145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82A0EC" w14:textId="77777777" w:rsidR="001F3044" w:rsidRDefault="001F3044" w:rsidP="001F3044">
      <w:pPr>
        <w:pStyle w:val="Textoindependiente21"/>
        <w:tabs>
          <w:tab w:val="left" w:pos="284"/>
        </w:tabs>
        <w:ind w:right="428"/>
        <w:jc w:val="right"/>
        <w:rPr>
          <w:rFonts w:ascii="Arial" w:hAnsi="Arial" w:cs="Arial"/>
          <w:bCs/>
          <w:sz w:val="22"/>
          <w:szCs w:val="22"/>
        </w:rPr>
      </w:pPr>
      <w:r>
        <w:rPr>
          <w:rFonts w:ascii="Arial" w:hAnsi="Arial" w:cs="Arial"/>
          <w:bCs/>
          <w:sz w:val="22"/>
          <w:szCs w:val="22"/>
        </w:rPr>
        <w:t xml:space="preserve">     </w:t>
      </w:r>
    </w:p>
    <w:p w14:paraId="696477F1" w14:textId="77777777" w:rsidR="00D215AE" w:rsidRPr="001F3044" w:rsidRDefault="001F3044" w:rsidP="001F3044">
      <w:pPr>
        <w:pStyle w:val="Textoindependiente21"/>
        <w:tabs>
          <w:tab w:val="left" w:pos="284"/>
        </w:tabs>
        <w:ind w:right="428"/>
        <w:jc w:val="right"/>
        <w:rPr>
          <w:rFonts w:ascii="Arial" w:hAnsi="Arial" w:cs="Arial"/>
          <w:bCs/>
          <w:sz w:val="22"/>
          <w:szCs w:val="22"/>
        </w:rPr>
      </w:pPr>
      <w:r w:rsidRPr="001F3044">
        <w:rPr>
          <w:rFonts w:ascii="Arial" w:hAnsi="Arial" w:cs="Arial"/>
          <w:bCs/>
          <w:sz w:val="22"/>
          <w:szCs w:val="22"/>
        </w:rPr>
        <w:t>40</w:t>
      </w:r>
    </w:p>
    <w:p w14:paraId="4E5A3C48" w14:textId="77777777" w:rsidR="001F3044" w:rsidRDefault="001F3044" w:rsidP="008F1B1F">
      <w:pPr>
        <w:pStyle w:val="Standard"/>
        <w:jc w:val="both"/>
        <w:rPr>
          <w:rFonts w:ascii="Arial" w:hAnsi="Arial" w:cs="Arial"/>
          <w:sz w:val="22"/>
          <w:szCs w:val="22"/>
        </w:rPr>
      </w:pPr>
    </w:p>
    <w:p w14:paraId="76C766ED" w14:textId="77777777" w:rsidR="008F1B1F" w:rsidRPr="008F1B1F" w:rsidRDefault="008F1B1F" w:rsidP="008F1B1F">
      <w:pPr>
        <w:pStyle w:val="Standard"/>
        <w:jc w:val="both"/>
        <w:rPr>
          <w:rFonts w:ascii="Arial" w:hAnsi="Arial" w:cs="Arial"/>
          <w:sz w:val="22"/>
          <w:szCs w:val="22"/>
        </w:rPr>
      </w:pPr>
      <w:r w:rsidRPr="008F1B1F">
        <w:rPr>
          <w:rFonts w:ascii="Arial" w:hAnsi="Arial" w:cs="Arial"/>
          <w:sz w:val="22"/>
          <w:szCs w:val="22"/>
        </w:rPr>
        <w:lastRenderedPageBreak/>
        <w:t>El presupuesto total asignado en el año 2018 para financiar el Plan de Inversiones asciende a ¢101.130.72 millones, distribuidos en ¢33.585.39 millones en fondos específicos y ¢68.543.38 millones en fondos corrientes, de los cuales ¢23.561.68 millones corresponde a contrapartidas y ¢43.983.65 millones a otros proyectos financiados con recursos corrientes. De este importe ¢2.804.11 millones corresponde al Programa de Hidrantes.</w:t>
      </w:r>
    </w:p>
    <w:p w14:paraId="5AC48AF5" w14:textId="77777777" w:rsidR="008F1B1F" w:rsidRPr="008F1B1F" w:rsidRDefault="008F1B1F" w:rsidP="008F1B1F">
      <w:pPr>
        <w:pStyle w:val="Standard"/>
        <w:jc w:val="both"/>
        <w:rPr>
          <w:rFonts w:ascii="Arial" w:hAnsi="Arial" w:cs="Arial"/>
          <w:sz w:val="22"/>
          <w:szCs w:val="22"/>
        </w:rPr>
      </w:pPr>
    </w:p>
    <w:p w14:paraId="4113B265" w14:textId="77777777" w:rsidR="00332A3A" w:rsidRPr="008F1B1F" w:rsidRDefault="008F1B1F" w:rsidP="008F1B1F">
      <w:pPr>
        <w:pStyle w:val="Standard"/>
        <w:jc w:val="both"/>
        <w:rPr>
          <w:rFonts w:ascii="Arial" w:hAnsi="Arial" w:cs="Arial"/>
          <w:sz w:val="22"/>
          <w:szCs w:val="22"/>
        </w:rPr>
      </w:pPr>
      <w:r w:rsidRPr="008F1B1F">
        <w:rPr>
          <w:rFonts w:ascii="Arial" w:hAnsi="Arial" w:cs="Arial"/>
          <w:sz w:val="22"/>
          <w:szCs w:val="22"/>
        </w:rPr>
        <w:t>El presupuesto total estimado para financiar el Plan de Inversiones al mes de diciembre es de ¢101.130.72 millones y la ejecución total (fondos específicos + fondos corrientes) alcanzada es de ¢59.260.02 millones, lográndose un porcentaje de ejecución del 59%.</w:t>
      </w:r>
    </w:p>
    <w:p w14:paraId="2BAF9AEB" w14:textId="77777777" w:rsidR="00460730" w:rsidRDefault="00460730" w:rsidP="00557974">
      <w:pPr>
        <w:pStyle w:val="Standard"/>
        <w:jc w:val="both"/>
        <w:rPr>
          <w:rFonts w:ascii="Arial" w:hAnsi="Arial" w:cs="Arial"/>
          <w:b/>
          <w:sz w:val="22"/>
          <w:szCs w:val="22"/>
        </w:rPr>
      </w:pPr>
    </w:p>
    <w:p w14:paraId="0AD6F521" w14:textId="77777777" w:rsidR="00D215AE" w:rsidRPr="000573A7" w:rsidRDefault="00594CE1" w:rsidP="00557974">
      <w:pPr>
        <w:pStyle w:val="Standard"/>
        <w:jc w:val="both"/>
        <w:rPr>
          <w:rFonts w:ascii="Arial" w:hAnsi="Arial" w:cs="Arial"/>
          <w:b/>
          <w:sz w:val="22"/>
          <w:szCs w:val="22"/>
        </w:rPr>
      </w:pPr>
      <w:r>
        <w:rPr>
          <w:rFonts w:ascii="Arial" w:hAnsi="Arial" w:cs="Arial"/>
          <w:b/>
          <w:sz w:val="22"/>
          <w:szCs w:val="22"/>
        </w:rPr>
        <w:t>Gráfico 21</w:t>
      </w:r>
    </w:p>
    <w:p w14:paraId="73869899" w14:textId="77777777" w:rsidR="00AF2A17" w:rsidRPr="00557974" w:rsidRDefault="00832E1B" w:rsidP="00557974">
      <w:pPr>
        <w:pStyle w:val="Standard"/>
        <w:jc w:val="both"/>
        <w:rPr>
          <w:rFonts w:ascii="Arial" w:hAnsi="Arial" w:cs="Arial"/>
          <w:sz w:val="22"/>
          <w:szCs w:val="22"/>
        </w:rPr>
      </w:pPr>
      <w:r w:rsidRPr="00832E1B">
        <w:rPr>
          <w:noProof/>
          <w:lang w:val="es-CR" w:eastAsia="es-CR"/>
        </w:rPr>
        <w:drawing>
          <wp:anchor distT="0" distB="0" distL="114300" distR="114300" simplePos="0" relativeHeight="251826176" behindDoc="0" locked="0" layoutInCell="1" allowOverlap="1" wp14:anchorId="18C1B0A0" wp14:editId="59A1AA56">
            <wp:simplePos x="0" y="0"/>
            <wp:positionH relativeFrom="margin">
              <wp:align>left</wp:align>
            </wp:positionH>
            <wp:positionV relativeFrom="paragraph">
              <wp:posOffset>160655</wp:posOffset>
            </wp:positionV>
            <wp:extent cx="3314700" cy="2186940"/>
            <wp:effectExtent l="0" t="0" r="0" b="381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4700"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992CD5" w14:textId="77777777" w:rsidR="00D215AE" w:rsidRPr="00557974" w:rsidRDefault="00832E1B" w:rsidP="00557974">
      <w:pPr>
        <w:pStyle w:val="Standard"/>
        <w:jc w:val="both"/>
        <w:rPr>
          <w:rFonts w:ascii="Arial" w:hAnsi="Arial" w:cs="Arial"/>
          <w:color w:val="FF0000"/>
          <w:sz w:val="22"/>
          <w:szCs w:val="22"/>
        </w:rPr>
      </w:pPr>
      <w:r>
        <w:rPr>
          <w:rFonts w:ascii="Arial" w:hAnsi="Arial" w:cs="Arial"/>
          <w:sz w:val="22"/>
          <w:szCs w:val="22"/>
        </w:rPr>
        <w:t xml:space="preserve">La </w:t>
      </w:r>
      <w:r w:rsidRPr="00832E1B">
        <w:rPr>
          <w:rFonts w:ascii="Arial" w:hAnsi="Arial" w:cs="Arial"/>
          <w:b/>
          <w:sz w:val="22"/>
          <w:szCs w:val="22"/>
        </w:rPr>
        <w:t>Subgerencia de Sistemas Comunales</w:t>
      </w:r>
      <w:r w:rsidRPr="00832E1B">
        <w:rPr>
          <w:rFonts w:ascii="Arial" w:hAnsi="Arial" w:cs="Arial"/>
          <w:sz w:val="22"/>
          <w:szCs w:val="22"/>
        </w:rPr>
        <w:t>: muestra una ejecución total de ¢3.972.73 millones, de ese monto el Programa de Asignaciones Familiares presenta una ejecución de ¢1.652.43 millones con Fondos Específicos, con Fondos de Contrapartida muestra una ejecución de ¢2.129.38 millones y ¢190.92 millones de Pequeñas Comunidades en Riesgo Sanitario. La ejecución total (¢3.972.73 millones) representa un 70% del monto del presupuesto estimado al mes de diciembre para este programa (¢5.679.50 millones).</w:t>
      </w:r>
    </w:p>
    <w:p w14:paraId="4859959C" w14:textId="77777777" w:rsidR="00D215AE" w:rsidRPr="00557974" w:rsidRDefault="00D215AE" w:rsidP="00557974">
      <w:pPr>
        <w:pStyle w:val="Standard"/>
        <w:jc w:val="both"/>
        <w:rPr>
          <w:rFonts w:ascii="Arial" w:hAnsi="Arial" w:cs="Arial"/>
          <w:color w:val="FF0000"/>
          <w:sz w:val="22"/>
          <w:szCs w:val="22"/>
        </w:rPr>
      </w:pPr>
    </w:p>
    <w:p w14:paraId="2FCD5E49" w14:textId="77777777" w:rsidR="00D215AE" w:rsidRPr="00832E1B" w:rsidRDefault="00832E1B" w:rsidP="00557974">
      <w:pPr>
        <w:pStyle w:val="Standard"/>
        <w:jc w:val="both"/>
        <w:rPr>
          <w:rFonts w:ascii="Arial" w:hAnsi="Arial" w:cs="Arial"/>
          <w:sz w:val="22"/>
          <w:szCs w:val="22"/>
        </w:rPr>
      </w:pPr>
      <w:r w:rsidRPr="00832E1B">
        <w:rPr>
          <w:rFonts w:ascii="Arial" w:hAnsi="Arial" w:cs="Arial"/>
          <w:sz w:val="22"/>
          <w:szCs w:val="22"/>
        </w:rPr>
        <w:t>Donación Huracán Otto, presenta una ejecución de ¢71.45 millones con Fondos Específicos y el monto estimado al mes de diciembre es de ¢802.35 millones para un 9% de ejecución.</w:t>
      </w:r>
    </w:p>
    <w:p w14:paraId="74A6DD79" w14:textId="77777777" w:rsidR="00D215AE" w:rsidRPr="00557974" w:rsidRDefault="00D215AE" w:rsidP="00557974">
      <w:pPr>
        <w:pStyle w:val="Standard"/>
        <w:jc w:val="both"/>
        <w:rPr>
          <w:rFonts w:ascii="Arial" w:hAnsi="Arial" w:cs="Arial"/>
          <w:b/>
          <w:bCs/>
          <w:color w:val="FF0000"/>
          <w:sz w:val="22"/>
          <w:szCs w:val="22"/>
        </w:rPr>
      </w:pPr>
    </w:p>
    <w:p w14:paraId="408B6BAF" w14:textId="77777777" w:rsidR="00D215AE" w:rsidRPr="00557974" w:rsidRDefault="00D215AE" w:rsidP="00557974">
      <w:pPr>
        <w:pStyle w:val="Standard"/>
        <w:jc w:val="both"/>
        <w:rPr>
          <w:rFonts w:ascii="Arial" w:hAnsi="Arial" w:cs="Arial"/>
          <w:b/>
          <w:bCs/>
          <w:color w:val="FF0000"/>
          <w:sz w:val="22"/>
          <w:szCs w:val="22"/>
        </w:rPr>
      </w:pPr>
    </w:p>
    <w:p w14:paraId="3FAEF4D0" w14:textId="77777777" w:rsidR="000573A7" w:rsidRDefault="00D215AE" w:rsidP="00557974">
      <w:pPr>
        <w:pStyle w:val="Standard"/>
        <w:jc w:val="both"/>
        <w:rPr>
          <w:rFonts w:ascii="Arial" w:hAnsi="Arial" w:cs="Arial"/>
          <w:b/>
          <w:bCs/>
          <w:color w:val="FF0000"/>
          <w:sz w:val="22"/>
          <w:szCs w:val="22"/>
        </w:rPr>
      </w:pPr>
      <w:r w:rsidRPr="00557974">
        <w:rPr>
          <w:rFonts w:ascii="Arial" w:hAnsi="Arial" w:cs="Arial"/>
          <w:b/>
          <w:bCs/>
          <w:color w:val="FF0000"/>
          <w:sz w:val="22"/>
          <w:szCs w:val="22"/>
        </w:rPr>
        <w:t xml:space="preserve">                                                                 </w:t>
      </w:r>
    </w:p>
    <w:p w14:paraId="35F29A0B" w14:textId="77777777" w:rsidR="000573A7" w:rsidRDefault="000573A7" w:rsidP="00557974">
      <w:pPr>
        <w:pStyle w:val="Standard"/>
        <w:jc w:val="both"/>
        <w:rPr>
          <w:rFonts w:ascii="Arial" w:hAnsi="Arial" w:cs="Arial"/>
          <w:b/>
          <w:bCs/>
          <w:color w:val="FF0000"/>
          <w:sz w:val="22"/>
          <w:szCs w:val="22"/>
        </w:rPr>
      </w:pPr>
    </w:p>
    <w:p w14:paraId="370C609A" w14:textId="77777777" w:rsidR="000573A7" w:rsidRDefault="000573A7" w:rsidP="00557974">
      <w:pPr>
        <w:pStyle w:val="Standard"/>
        <w:jc w:val="both"/>
        <w:rPr>
          <w:rFonts w:ascii="Arial" w:hAnsi="Arial" w:cs="Arial"/>
          <w:b/>
          <w:bCs/>
          <w:color w:val="FF0000"/>
          <w:sz w:val="22"/>
          <w:szCs w:val="22"/>
        </w:rPr>
      </w:pPr>
    </w:p>
    <w:p w14:paraId="70E2CE28" w14:textId="77777777" w:rsidR="00F13A32" w:rsidRDefault="00F13A32" w:rsidP="00557974">
      <w:pPr>
        <w:pStyle w:val="Standard"/>
        <w:jc w:val="both"/>
        <w:rPr>
          <w:rFonts w:ascii="Arial" w:hAnsi="Arial" w:cs="Arial"/>
          <w:b/>
          <w:bCs/>
          <w:color w:val="FF0000"/>
          <w:sz w:val="22"/>
          <w:szCs w:val="22"/>
        </w:rPr>
      </w:pPr>
    </w:p>
    <w:p w14:paraId="480BC90B" w14:textId="77777777" w:rsidR="00FB38C9" w:rsidRDefault="00FB38C9" w:rsidP="00557974">
      <w:pPr>
        <w:pStyle w:val="Standard"/>
        <w:jc w:val="both"/>
        <w:rPr>
          <w:rFonts w:ascii="Arial" w:hAnsi="Arial" w:cs="Arial"/>
          <w:b/>
          <w:bCs/>
          <w:color w:val="FF0000"/>
          <w:sz w:val="22"/>
          <w:szCs w:val="22"/>
        </w:rPr>
      </w:pPr>
    </w:p>
    <w:p w14:paraId="072C9639" w14:textId="77777777" w:rsidR="00F13A32" w:rsidRDefault="00F13A32" w:rsidP="00557974">
      <w:pPr>
        <w:pStyle w:val="Standard"/>
        <w:jc w:val="both"/>
        <w:rPr>
          <w:rFonts w:ascii="Arial" w:hAnsi="Arial" w:cs="Arial"/>
          <w:b/>
          <w:bCs/>
          <w:color w:val="FF0000"/>
          <w:sz w:val="22"/>
          <w:szCs w:val="22"/>
        </w:rPr>
      </w:pPr>
    </w:p>
    <w:p w14:paraId="548BB969" w14:textId="77777777" w:rsidR="00832E1B" w:rsidRDefault="00832E1B" w:rsidP="00557974">
      <w:pPr>
        <w:pStyle w:val="Standard"/>
        <w:jc w:val="both"/>
        <w:rPr>
          <w:rFonts w:ascii="Arial" w:hAnsi="Arial" w:cs="Arial"/>
          <w:b/>
          <w:bCs/>
          <w:color w:val="FF0000"/>
          <w:sz w:val="22"/>
          <w:szCs w:val="22"/>
        </w:rPr>
      </w:pPr>
    </w:p>
    <w:p w14:paraId="0F54CD89" w14:textId="77777777" w:rsidR="00832E1B" w:rsidRDefault="00832E1B" w:rsidP="00557974">
      <w:pPr>
        <w:pStyle w:val="Standard"/>
        <w:jc w:val="both"/>
        <w:rPr>
          <w:rFonts w:ascii="Arial" w:hAnsi="Arial" w:cs="Arial"/>
          <w:b/>
          <w:bCs/>
          <w:color w:val="FF0000"/>
          <w:sz w:val="22"/>
          <w:szCs w:val="22"/>
        </w:rPr>
      </w:pPr>
    </w:p>
    <w:p w14:paraId="435DB2D2" w14:textId="77777777" w:rsidR="00832E1B" w:rsidRDefault="00832E1B" w:rsidP="00557974">
      <w:pPr>
        <w:pStyle w:val="Standard"/>
        <w:jc w:val="both"/>
        <w:rPr>
          <w:rFonts w:ascii="Arial" w:hAnsi="Arial" w:cs="Arial"/>
          <w:b/>
          <w:bCs/>
          <w:color w:val="FF0000"/>
          <w:sz w:val="22"/>
          <w:szCs w:val="22"/>
        </w:rPr>
      </w:pPr>
    </w:p>
    <w:p w14:paraId="7CA20903" w14:textId="77777777" w:rsidR="00832E1B" w:rsidRDefault="00832E1B" w:rsidP="00557974">
      <w:pPr>
        <w:pStyle w:val="Standard"/>
        <w:jc w:val="both"/>
        <w:rPr>
          <w:rFonts w:ascii="Arial" w:hAnsi="Arial" w:cs="Arial"/>
          <w:b/>
          <w:bCs/>
          <w:color w:val="FF0000"/>
          <w:sz w:val="22"/>
          <w:szCs w:val="22"/>
        </w:rPr>
      </w:pPr>
    </w:p>
    <w:p w14:paraId="6F40B96A" w14:textId="77777777" w:rsidR="00F13A32" w:rsidRDefault="00F13A32" w:rsidP="00557974">
      <w:pPr>
        <w:pStyle w:val="Standard"/>
        <w:jc w:val="both"/>
        <w:rPr>
          <w:rFonts w:ascii="Arial" w:hAnsi="Arial" w:cs="Arial"/>
          <w:b/>
          <w:bCs/>
          <w:color w:val="FF0000"/>
          <w:sz w:val="22"/>
          <w:szCs w:val="22"/>
        </w:rPr>
      </w:pPr>
    </w:p>
    <w:p w14:paraId="21160521" w14:textId="77777777" w:rsidR="00F13A32" w:rsidRDefault="00F13A32" w:rsidP="00557974">
      <w:pPr>
        <w:pStyle w:val="Standard"/>
        <w:jc w:val="both"/>
        <w:rPr>
          <w:rFonts w:ascii="Arial" w:hAnsi="Arial" w:cs="Arial"/>
          <w:b/>
          <w:bCs/>
          <w:color w:val="FF0000"/>
          <w:sz w:val="22"/>
          <w:szCs w:val="22"/>
        </w:rPr>
      </w:pPr>
    </w:p>
    <w:p w14:paraId="64CF92EF" w14:textId="77777777" w:rsidR="00F13A32" w:rsidRDefault="00F13A32" w:rsidP="00557974">
      <w:pPr>
        <w:pStyle w:val="Standard"/>
        <w:jc w:val="both"/>
        <w:rPr>
          <w:rFonts w:ascii="Arial" w:hAnsi="Arial" w:cs="Arial"/>
          <w:b/>
          <w:bCs/>
          <w:color w:val="FF0000"/>
          <w:sz w:val="22"/>
          <w:szCs w:val="22"/>
        </w:rPr>
      </w:pPr>
    </w:p>
    <w:p w14:paraId="0A44D3C3" w14:textId="77777777" w:rsidR="00F13A32" w:rsidRPr="001F3044" w:rsidRDefault="001F3044" w:rsidP="001F3044">
      <w:pPr>
        <w:pStyle w:val="Standard"/>
        <w:jc w:val="right"/>
        <w:rPr>
          <w:rFonts w:ascii="Arial" w:hAnsi="Arial" w:cs="Arial"/>
          <w:bCs/>
          <w:sz w:val="22"/>
          <w:szCs w:val="22"/>
        </w:rPr>
      </w:pPr>
      <w:r w:rsidRPr="001F3044">
        <w:rPr>
          <w:rFonts w:ascii="Arial" w:hAnsi="Arial" w:cs="Arial"/>
          <w:bCs/>
          <w:sz w:val="22"/>
          <w:szCs w:val="22"/>
        </w:rPr>
        <w:t>41</w:t>
      </w:r>
    </w:p>
    <w:p w14:paraId="0D7C99C3" w14:textId="77777777" w:rsidR="000573A7" w:rsidRDefault="000573A7" w:rsidP="00557974">
      <w:pPr>
        <w:pStyle w:val="Standard"/>
        <w:jc w:val="both"/>
        <w:rPr>
          <w:rFonts w:ascii="Arial" w:hAnsi="Arial" w:cs="Arial"/>
          <w:b/>
          <w:bCs/>
          <w:color w:val="FF0000"/>
          <w:sz w:val="22"/>
          <w:szCs w:val="22"/>
        </w:rPr>
      </w:pPr>
    </w:p>
    <w:p w14:paraId="002390FB" w14:textId="77777777" w:rsidR="00D215AE" w:rsidRDefault="00D215AE" w:rsidP="00557974">
      <w:pPr>
        <w:pStyle w:val="Standard"/>
        <w:jc w:val="both"/>
        <w:rPr>
          <w:rFonts w:ascii="Arial" w:hAnsi="Arial" w:cs="Arial"/>
          <w:b/>
          <w:bCs/>
          <w:sz w:val="22"/>
          <w:szCs w:val="22"/>
        </w:rPr>
      </w:pPr>
      <w:r w:rsidRPr="000573A7">
        <w:rPr>
          <w:rFonts w:ascii="Arial" w:hAnsi="Arial" w:cs="Arial"/>
          <w:b/>
          <w:bCs/>
          <w:sz w:val="22"/>
          <w:szCs w:val="22"/>
        </w:rPr>
        <w:t xml:space="preserve"> </w:t>
      </w:r>
      <w:r w:rsidR="003408D1">
        <w:rPr>
          <w:rFonts w:ascii="Arial" w:hAnsi="Arial" w:cs="Arial"/>
          <w:b/>
          <w:bCs/>
          <w:sz w:val="22"/>
          <w:szCs w:val="22"/>
        </w:rPr>
        <w:t xml:space="preserve">                                                          </w:t>
      </w:r>
      <w:r w:rsidR="001E24D2">
        <w:rPr>
          <w:rFonts w:ascii="Arial" w:hAnsi="Arial" w:cs="Arial"/>
          <w:b/>
          <w:bCs/>
          <w:sz w:val="22"/>
          <w:szCs w:val="22"/>
        </w:rPr>
        <w:t xml:space="preserve">        </w:t>
      </w:r>
      <w:r w:rsidR="00594CE1">
        <w:rPr>
          <w:rFonts w:ascii="Arial" w:hAnsi="Arial" w:cs="Arial"/>
          <w:b/>
          <w:bCs/>
          <w:sz w:val="22"/>
          <w:szCs w:val="22"/>
        </w:rPr>
        <w:t>Gráfico 22</w:t>
      </w:r>
    </w:p>
    <w:p w14:paraId="6F7D9711" w14:textId="77777777" w:rsidR="00832E1B" w:rsidRPr="000573A7" w:rsidRDefault="00832E1B" w:rsidP="00557974">
      <w:pPr>
        <w:pStyle w:val="Standard"/>
        <w:jc w:val="both"/>
        <w:rPr>
          <w:rFonts w:ascii="Arial" w:hAnsi="Arial" w:cs="Arial"/>
          <w:b/>
          <w:bCs/>
          <w:sz w:val="22"/>
          <w:szCs w:val="22"/>
        </w:rPr>
      </w:pPr>
    </w:p>
    <w:p w14:paraId="4019559F" w14:textId="77777777" w:rsidR="00D215AE" w:rsidRPr="00557974" w:rsidRDefault="00D215AE" w:rsidP="00557974">
      <w:pPr>
        <w:pStyle w:val="Standard"/>
        <w:jc w:val="both"/>
        <w:rPr>
          <w:rFonts w:ascii="Arial" w:hAnsi="Arial" w:cs="Arial"/>
          <w:sz w:val="22"/>
          <w:szCs w:val="22"/>
        </w:rPr>
      </w:pPr>
    </w:p>
    <w:p w14:paraId="26F692F3" w14:textId="77777777" w:rsidR="00832E1B" w:rsidRDefault="00832E1B" w:rsidP="00832E1B">
      <w:pPr>
        <w:pStyle w:val="Standard"/>
        <w:jc w:val="both"/>
        <w:rPr>
          <w:rFonts w:ascii="Arial" w:hAnsi="Arial" w:cs="Arial"/>
          <w:sz w:val="22"/>
          <w:szCs w:val="22"/>
        </w:rPr>
      </w:pPr>
      <w:r w:rsidRPr="00832E1B">
        <w:rPr>
          <w:noProof/>
          <w:lang w:val="es-CR" w:eastAsia="es-CR"/>
        </w:rPr>
        <w:drawing>
          <wp:anchor distT="0" distB="0" distL="114300" distR="114300" simplePos="0" relativeHeight="251827200" behindDoc="0" locked="0" layoutInCell="1" allowOverlap="1" wp14:anchorId="2A1098A2" wp14:editId="59BC4E33">
            <wp:simplePos x="0" y="0"/>
            <wp:positionH relativeFrom="margin">
              <wp:posOffset>2569210</wp:posOffset>
            </wp:positionH>
            <wp:positionV relativeFrom="paragraph">
              <wp:posOffset>13970</wp:posOffset>
            </wp:positionV>
            <wp:extent cx="3348355" cy="2255520"/>
            <wp:effectExtent l="0" t="0" r="4445"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48355" cy="2255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70341D" w14:textId="77777777" w:rsidR="00832E1B" w:rsidRDefault="00832E1B" w:rsidP="00832E1B">
      <w:pPr>
        <w:pStyle w:val="Standard"/>
        <w:jc w:val="both"/>
        <w:rPr>
          <w:rFonts w:ascii="Arial" w:hAnsi="Arial" w:cs="Arial"/>
          <w:sz w:val="22"/>
          <w:szCs w:val="22"/>
        </w:rPr>
      </w:pPr>
    </w:p>
    <w:p w14:paraId="578C3372" w14:textId="77777777" w:rsidR="00D215AE" w:rsidRPr="00832E1B" w:rsidRDefault="00832E1B" w:rsidP="00832E1B">
      <w:pPr>
        <w:pStyle w:val="Standard"/>
        <w:jc w:val="both"/>
        <w:rPr>
          <w:rFonts w:ascii="Arial" w:hAnsi="Arial" w:cs="Arial"/>
          <w:sz w:val="22"/>
          <w:szCs w:val="22"/>
        </w:rPr>
      </w:pPr>
      <w:r>
        <w:rPr>
          <w:rFonts w:ascii="Arial" w:hAnsi="Arial" w:cs="Arial"/>
          <w:sz w:val="22"/>
          <w:szCs w:val="22"/>
        </w:rPr>
        <w:t xml:space="preserve">La </w:t>
      </w:r>
      <w:r w:rsidRPr="00832E1B">
        <w:rPr>
          <w:rFonts w:ascii="Arial" w:hAnsi="Arial" w:cs="Arial"/>
          <w:b/>
          <w:sz w:val="22"/>
          <w:szCs w:val="22"/>
        </w:rPr>
        <w:t>Unidad Ejecutora KFW II</w:t>
      </w:r>
      <w:r w:rsidRPr="00832E1B">
        <w:rPr>
          <w:rFonts w:ascii="Arial" w:hAnsi="Arial" w:cs="Arial"/>
          <w:sz w:val="22"/>
          <w:szCs w:val="22"/>
        </w:rPr>
        <w:t>: ejecutó con Fondos Corrientes la suma ¢1.913.15 millones, y ¢191.79 millones con Fondos Específicos (no se incluyen en el presupuesto por tratarse de pagos directos del préstamo), el presupuesto estimado en Fondos Corrientes para este período es de ¢3.136.18 millones. Al mes de diciembre la Unidad Ejecutora KFW II presenta una ejecución de un 67%.</w:t>
      </w:r>
    </w:p>
    <w:p w14:paraId="389E805F" w14:textId="77777777" w:rsidR="00D215AE" w:rsidRPr="00557974" w:rsidRDefault="00D215AE" w:rsidP="00557974">
      <w:pPr>
        <w:pStyle w:val="Standard"/>
        <w:jc w:val="both"/>
        <w:rPr>
          <w:rFonts w:ascii="Arial" w:hAnsi="Arial" w:cs="Arial"/>
          <w:color w:val="FF0000"/>
          <w:sz w:val="22"/>
          <w:szCs w:val="22"/>
        </w:rPr>
      </w:pPr>
    </w:p>
    <w:p w14:paraId="33AF7BD4" w14:textId="77777777" w:rsidR="00D215AE" w:rsidRPr="00557974" w:rsidRDefault="00D215AE" w:rsidP="00557974">
      <w:pPr>
        <w:pStyle w:val="Standard"/>
        <w:jc w:val="both"/>
        <w:rPr>
          <w:rFonts w:ascii="Arial" w:hAnsi="Arial" w:cs="Arial"/>
          <w:color w:val="FF0000"/>
          <w:sz w:val="22"/>
          <w:szCs w:val="22"/>
        </w:rPr>
      </w:pPr>
    </w:p>
    <w:p w14:paraId="6E2E3A25" w14:textId="77777777" w:rsidR="00D215AE" w:rsidRPr="00557974" w:rsidRDefault="00D215AE" w:rsidP="00557974">
      <w:pPr>
        <w:pStyle w:val="Standard"/>
        <w:jc w:val="both"/>
        <w:rPr>
          <w:rFonts w:ascii="Arial" w:hAnsi="Arial" w:cs="Arial"/>
          <w:b/>
          <w:bCs/>
          <w:color w:val="FF0000"/>
          <w:sz w:val="22"/>
          <w:szCs w:val="22"/>
        </w:rPr>
      </w:pPr>
    </w:p>
    <w:p w14:paraId="7E799E3D" w14:textId="77777777" w:rsidR="001321AE" w:rsidRDefault="001321AE" w:rsidP="00557974">
      <w:pPr>
        <w:pStyle w:val="Standard"/>
        <w:jc w:val="both"/>
        <w:rPr>
          <w:rFonts w:ascii="Arial" w:hAnsi="Arial" w:cs="Arial"/>
          <w:b/>
          <w:bCs/>
          <w:sz w:val="22"/>
          <w:szCs w:val="22"/>
        </w:rPr>
      </w:pPr>
    </w:p>
    <w:p w14:paraId="1AB893A8" w14:textId="77777777" w:rsidR="00FB38C9" w:rsidRDefault="00FB38C9" w:rsidP="00557974">
      <w:pPr>
        <w:pStyle w:val="Standard"/>
        <w:jc w:val="both"/>
        <w:rPr>
          <w:rFonts w:ascii="Arial" w:hAnsi="Arial" w:cs="Arial"/>
          <w:b/>
          <w:bCs/>
          <w:sz w:val="22"/>
          <w:szCs w:val="22"/>
        </w:rPr>
      </w:pPr>
    </w:p>
    <w:p w14:paraId="3605537F" w14:textId="77777777" w:rsidR="00D215AE" w:rsidRPr="003408D1" w:rsidRDefault="00594CE1" w:rsidP="00557974">
      <w:pPr>
        <w:pStyle w:val="Standard"/>
        <w:jc w:val="both"/>
        <w:rPr>
          <w:rFonts w:ascii="Arial" w:hAnsi="Arial" w:cs="Arial"/>
          <w:b/>
          <w:bCs/>
          <w:sz w:val="22"/>
          <w:szCs w:val="22"/>
        </w:rPr>
      </w:pPr>
      <w:r>
        <w:rPr>
          <w:rFonts w:ascii="Arial" w:hAnsi="Arial" w:cs="Arial"/>
          <w:b/>
          <w:bCs/>
          <w:sz w:val="22"/>
          <w:szCs w:val="22"/>
        </w:rPr>
        <w:t>Gráfico 23</w:t>
      </w:r>
    </w:p>
    <w:p w14:paraId="05610336" w14:textId="77777777" w:rsidR="00AF2A17" w:rsidRPr="00557974" w:rsidRDefault="00AF2A17" w:rsidP="00557974">
      <w:pPr>
        <w:pStyle w:val="Standard"/>
        <w:jc w:val="both"/>
        <w:rPr>
          <w:rFonts w:ascii="Arial" w:hAnsi="Arial" w:cs="Arial"/>
          <w:sz w:val="22"/>
          <w:szCs w:val="22"/>
        </w:rPr>
      </w:pPr>
    </w:p>
    <w:p w14:paraId="75C4DA73" w14:textId="77777777" w:rsidR="003408D1" w:rsidRDefault="00832E1B" w:rsidP="00AF2A17">
      <w:pPr>
        <w:pStyle w:val="Standard"/>
        <w:jc w:val="both"/>
        <w:rPr>
          <w:rFonts w:ascii="Arial" w:eastAsiaTheme="minorHAnsi" w:hAnsi="Arial" w:cs="Arial"/>
          <w:b/>
          <w:kern w:val="0"/>
          <w:sz w:val="22"/>
          <w:szCs w:val="22"/>
          <w:lang w:val="es-CR" w:eastAsia="en-US"/>
        </w:rPr>
      </w:pPr>
      <w:r w:rsidRPr="00832E1B">
        <w:rPr>
          <w:rFonts w:eastAsiaTheme="minorHAnsi"/>
          <w:noProof/>
          <w:lang w:val="es-CR" w:eastAsia="es-CR"/>
        </w:rPr>
        <w:drawing>
          <wp:anchor distT="0" distB="0" distL="114300" distR="114300" simplePos="0" relativeHeight="251828224" behindDoc="0" locked="0" layoutInCell="1" allowOverlap="1" wp14:anchorId="2810E214" wp14:editId="2ABDF428">
            <wp:simplePos x="0" y="0"/>
            <wp:positionH relativeFrom="margin">
              <wp:align>left</wp:align>
            </wp:positionH>
            <wp:positionV relativeFrom="paragraph">
              <wp:posOffset>161290</wp:posOffset>
            </wp:positionV>
            <wp:extent cx="3543300" cy="233172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43300" cy="2331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FD5196" w14:textId="77777777" w:rsidR="00832E1B" w:rsidRDefault="00832E1B" w:rsidP="00AF2A17">
      <w:pPr>
        <w:pStyle w:val="Standard"/>
        <w:jc w:val="both"/>
        <w:rPr>
          <w:rFonts w:ascii="Arial" w:eastAsiaTheme="minorHAnsi" w:hAnsi="Arial" w:cs="Arial"/>
          <w:b/>
          <w:kern w:val="0"/>
          <w:sz w:val="22"/>
          <w:szCs w:val="22"/>
          <w:lang w:val="es-CR" w:eastAsia="en-US"/>
        </w:rPr>
      </w:pPr>
    </w:p>
    <w:p w14:paraId="602F98DE" w14:textId="77777777" w:rsidR="00D215AE" w:rsidRPr="00AF2A17" w:rsidRDefault="00AF2A17" w:rsidP="00AF2A17">
      <w:pPr>
        <w:pStyle w:val="Standard"/>
        <w:jc w:val="both"/>
        <w:rPr>
          <w:rFonts w:ascii="Arial" w:eastAsiaTheme="minorHAnsi" w:hAnsi="Arial" w:cs="Arial"/>
          <w:color w:val="FF0000"/>
          <w:kern w:val="0"/>
          <w:sz w:val="22"/>
          <w:szCs w:val="22"/>
          <w:lang w:val="es-CR" w:eastAsia="en-US"/>
        </w:rPr>
      </w:pPr>
      <w:r w:rsidRPr="00AF2A17">
        <w:rPr>
          <w:rFonts w:ascii="Arial" w:eastAsiaTheme="minorHAnsi" w:hAnsi="Arial" w:cs="Arial"/>
          <w:b/>
          <w:kern w:val="0"/>
          <w:sz w:val="22"/>
          <w:szCs w:val="22"/>
          <w:lang w:val="es-CR" w:eastAsia="en-US"/>
        </w:rPr>
        <w:t>Unidad Ejecutora BCIE 1725</w:t>
      </w:r>
      <w:r w:rsidRPr="00AF2A17">
        <w:rPr>
          <w:rFonts w:ascii="Arial" w:eastAsiaTheme="minorHAnsi" w:hAnsi="Arial" w:cs="Arial"/>
          <w:kern w:val="0"/>
          <w:sz w:val="22"/>
          <w:szCs w:val="22"/>
          <w:lang w:val="es-CR" w:eastAsia="en-US"/>
        </w:rPr>
        <w:t>: El pres</w:t>
      </w:r>
      <w:r w:rsidR="00DC0794">
        <w:rPr>
          <w:rFonts w:ascii="Arial" w:eastAsiaTheme="minorHAnsi" w:hAnsi="Arial" w:cs="Arial"/>
          <w:kern w:val="0"/>
          <w:sz w:val="22"/>
          <w:szCs w:val="22"/>
          <w:lang w:val="es-CR" w:eastAsia="en-US"/>
        </w:rPr>
        <w:t>upuesto estimado al mes de setiembre este programa es de ¢10.557.73</w:t>
      </w:r>
      <w:r w:rsidRPr="00AF2A17">
        <w:rPr>
          <w:rFonts w:ascii="Arial" w:eastAsiaTheme="minorHAnsi" w:hAnsi="Arial" w:cs="Arial"/>
          <w:kern w:val="0"/>
          <w:sz w:val="22"/>
          <w:szCs w:val="22"/>
          <w:lang w:val="es-CR" w:eastAsia="en-US"/>
        </w:rPr>
        <w:t xml:space="preserve"> millones; de los cuales con fondo</w:t>
      </w:r>
      <w:r w:rsidR="00DC0794">
        <w:rPr>
          <w:rFonts w:ascii="Arial" w:eastAsiaTheme="minorHAnsi" w:hAnsi="Arial" w:cs="Arial"/>
          <w:kern w:val="0"/>
          <w:sz w:val="22"/>
          <w:szCs w:val="22"/>
          <w:lang w:val="es-CR" w:eastAsia="en-US"/>
        </w:rPr>
        <w:t>s del préstamo ejecutó ¢2.862.23 millones y ¢2.269.67</w:t>
      </w:r>
      <w:r w:rsidRPr="00AF2A17">
        <w:rPr>
          <w:rFonts w:ascii="Arial" w:eastAsiaTheme="minorHAnsi" w:hAnsi="Arial" w:cs="Arial"/>
          <w:kern w:val="0"/>
          <w:sz w:val="22"/>
          <w:szCs w:val="22"/>
          <w:lang w:val="es-CR" w:eastAsia="en-US"/>
        </w:rPr>
        <w:t xml:space="preserve"> millones con Fondos de Contrapartida, alcanzando u</w:t>
      </w:r>
      <w:r w:rsidR="00DC0794">
        <w:rPr>
          <w:rFonts w:ascii="Arial" w:eastAsiaTheme="minorHAnsi" w:hAnsi="Arial" w:cs="Arial"/>
          <w:kern w:val="0"/>
          <w:sz w:val="22"/>
          <w:szCs w:val="22"/>
          <w:lang w:val="es-CR" w:eastAsia="en-US"/>
        </w:rPr>
        <w:t>na ejecución total de ¢5.131.90 millones (49</w:t>
      </w:r>
      <w:r w:rsidRPr="00AF2A17">
        <w:rPr>
          <w:rFonts w:ascii="Arial" w:eastAsiaTheme="minorHAnsi" w:hAnsi="Arial" w:cs="Arial"/>
          <w:kern w:val="0"/>
          <w:sz w:val="22"/>
          <w:szCs w:val="22"/>
          <w:lang w:val="es-CR" w:eastAsia="en-US"/>
        </w:rPr>
        <w:t>%).</w:t>
      </w:r>
    </w:p>
    <w:p w14:paraId="1D087164" w14:textId="77777777" w:rsidR="00D215AE" w:rsidRPr="00557974" w:rsidRDefault="00D215AE" w:rsidP="00557974">
      <w:pPr>
        <w:pStyle w:val="Standard"/>
        <w:jc w:val="both"/>
        <w:rPr>
          <w:rFonts w:ascii="Arial" w:hAnsi="Arial" w:cs="Arial"/>
          <w:color w:val="FF0000"/>
          <w:sz w:val="22"/>
          <w:szCs w:val="22"/>
        </w:rPr>
      </w:pPr>
    </w:p>
    <w:p w14:paraId="67F2BCA7" w14:textId="77777777" w:rsidR="00D215AE" w:rsidRPr="00557974" w:rsidRDefault="00D215AE" w:rsidP="00557974">
      <w:pPr>
        <w:pStyle w:val="Standard"/>
        <w:jc w:val="both"/>
        <w:rPr>
          <w:rFonts w:ascii="Arial" w:hAnsi="Arial" w:cs="Arial"/>
          <w:color w:val="FF0000"/>
          <w:sz w:val="22"/>
          <w:szCs w:val="22"/>
        </w:rPr>
      </w:pPr>
    </w:p>
    <w:p w14:paraId="663C3CC4" w14:textId="77777777" w:rsidR="00D215AE" w:rsidRPr="00557974" w:rsidRDefault="00D215AE" w:rsidP="00557974">
      <w:pPr>
        <w:pStyle w:val="Standard"/>
        <w:jc w:val="both"/>
        <w:rPr>
          <w:rFonts w:ascii="Arial" w:hAnsi="Arial" w:cs="Arial"/>
          <w:color w:val="FF0000"/>
          <w:sz w:val="22"/>
          <w:szCs w:val="22"/>
        </w:rPr>
      </w:pPr>
    </w:p>
    <w:p w14:paraId="2FF40CD6" w14:textId="77777777" w:rsidR="003408D1" w:rsidRDefault="00D215AE" w:rsidP="00557974">
      <w:pPr>
        <w:pStyle w:val="Standard"/>
        <w:jc w:val="both"/>
        <w:rPr>
          <w:rFonts w:ascii="Arial" w:hAnsi="Arial" w:cs="Arial"/>
          <w:b/>
          <w:bCs/>
          <w:color w:val="FF0000"/>
          <w:sz w:val="22"/>
          <w:szCs w:val="22"/>
        </w:rPr>
      </w:pPr>
      <w:r w:rsidRPr="00557974">
        <w:rPr>
          <w:rFonts w:ascii="Arial" w:hAnsi="Arial" w:cs="Arial"/>
          <w:b/>
          <w:bCs/>
          <w:color w:val="FF0000"/>
          <w:sz w:val="22"/>
          <w:szCs w:val="22"/>
        </w:rPr>
        <w:t xml:space="preserve">                                                          </w:t>
      </w:r>
    </w:p>
    <w:p w14:paraId="409D3B38" w14:textId="77777777" w:rsidR="003408D1" w:rsidRDefault="003408D1" w:rsidP="00557974">
      <w:pPr>
        <w:pStyle w:val="Standard"/>
        <w:jc w:val="both"/>
        <w:rPr>
          <w:rFonts w:ascii="Arial" w:hAnsi="Arial" w:cs="Arial"/>
          <w:b/>
          <w:bCs/>
          <w:color w:val="FF0000"/>
          <w:sz w:val="22"/>
          <w:szCs w:val="22"/>
        </w:rPr>
      </w:pPr>
    </w:p>
    <w:p w14:paraId="6AF5A623" w14:textId="77777777" w:rsidR="003408D1" w:rsidRDefault="003408D1" w:rsidP="00557974">
      <w:pPr>
        <w:pStyle w:val="Standard"/>
        <w:jc w:val="both"/>
        <w:rPr>
          <w:rFonts w:ascii="Arial" w:hAnsi="Arial" w:cs="Arial"/>
          <w:b/>
          <w:bCs/>
          <w:color w:val="FF0000"/>
          <w:sz w:val="22"/>
          <w:szCs w:val="22"/>
        </w:rPr>
      </w:pPr>
    </w:p>
    <w:p w14:paraId="6CF381E6" w14:textId="77777777" w:rsidR="003408D1" w:rsidRDefault="003408D1" w:rsidP="00557974">
      <w:pPr>
        <w:pStyle w:val="Standard"/>
        <w:jc w:val="both"/>
        <w:rPr>
          <w:rFonts w:ascii="Arial" w:hAnsi="Arial" w:cs="Arial"/>
          <w:b/>
          <w:bCs/>
          <w:sz w:val="22"/>
          <w:szCs w:val="22"/>
        </w:rPr>
      </w:pPr>
    </w:p>
    <w:p w14:paraId="54CB580E" w14:textId="77777777" w:rsidR="00594CE1" w:rsidRDefault="00594CE1" w:rsidP="00557974">
      <w:pPr>
        <w:pStyle w:val="Standard"/>
        <w:jc w:val="both"/>
        <w:rPr>
          <w:rFonts w:ascii="Arial" w:hAnsi="Arial" w:cs="Arial"/>
          <w:b/>
          <w:bCs/>
          <w:sz w:val="22"/>
          <w:szCs w:val="22"/>
        </w:rPr>
      </w:pPr>
    </w:p>
    <w:p w14:paraId="17FDE289" w14:textId="77777777" w:rsidR="00594CE1" w:rsidRDefault="00594CE1" w:rsidP="00557974">
      <w:pPr>
        <w:pStyle w:val="Standard"/>
        <w:jc w:val="both"/>
        <w:rPr>
          <w:rFonts w:ascii="Arial" w:hAnsi="Arial" w:cs="Arial"/>
          <w:b/>
          <w:bCs/>
          <w:sz w:val="22"/>
          <w:szCs w:val="22"/>
        </w:rPr>
      </w:pPr>
    </w:p>
    <w:p w14:paraId="01E86642" w14:textId="77777777" w:rsidR="00594CE1" w:rsidRDefault="00594CE1" w:rsidP="00557974">
      <w:pPr>
        <w:pStyle w:val="Standard"/>
        <w:jc w:val="both"/>
        <w:rPr>
          <w:rFonts w:ascii="Arial" w:hAnsi="Arial" w:cs="Arial"/>
          <w:b/>
          <w:bCs/>
          <w:sz w:val="22"/>
          <w:szCs w:val="22"/>
        </w:rPr>
      </w:pPr>
    </w:p>
    <w:p w14:paraId="4BA7A634" w14:textId="77777777" w:rsidR="00594CE1" w:rsidRPr="001F3044" w:rsidRDefault="001F3044" w:rsidP="001F3044">
      <w:pPr>
        <w:pStyle w:val="Standard"/>
        <w:jc w:val="right"/>
        <w:rPr>
          <w:rFonts w:ascii="Arial" w:hAnsi="Arial" w:cs="Arial"/>
          <w:bCs/>
          <w:sz w:val="22"/>
          <w:szCs w:val="22"/>
        </w:rPr>
      </w:pPr>
      <w:r w:rsidRPr="001F3044">
        <w:rPr>
          <w:rFonts w:ascii="Arial" w:hAnsi="Arial" w:cs="Arial"/>
          <w:bCs/>
          <w:sz w:val="22"/>
          <w:szCs w:val="22"/>
        </w:rPr>
        <w:t>42</w:t>
      </w:r>
    </w:p>
    <w:p w14:paraId="799FE385" w14:textId="77777777" w:rsidR="00D215AE" w:rsidRPr="003408D1" w:rsidRDefault="00594CE1" w:rsidP="00557974">
      <w:pPr>
        <w:pStyle w:val="Standard"/>
        <w:jc w:val="both"/>
        <w:rPr>
          <w:rFonts w:ascii="Arial" w:hAnsi="Arial" w:cs="Arial"/>
          <w:b/>
          <w:bCs/>
          <w:sz w:val="22"/>
          <w:szCs w:val="22"/>
        </w:rPr>
      </w:pPr>
      <w:r>
        <w:rPr>
          <w:rFonts w:ascii="Arial" w:hAnsi="Arial" w:cs="Arial"/>
          <w:b/>
          <w:bCs/>
          <w:sz w:val="22"/>
          <w:szCs w:val="22"/>
        </w:rPr>
        <w:lastRenderedPageBreak/>
        <w:t>Gráfico 24</w:t>
      </w:r>
    </w:p>
    <w:p w14:paraId="05E852DE" w14:textId="77777777" w:rsidR="00D215AE" w:rsidRPr="00557974" w:rsidRDefault="00D215AE" w:rsidP="00557974">
      <w:pPr>
        <w:tabs>
          <w:tab w:val="left" w:pos="284"/>
        </w:tabs>
        <w:spacing w:before="0" w:beforeAutospacing="0" w:after="0" w:afterAutospacing="0" w:line="240" w:lineRule="auto"/>
        <w:ind w:left="284" w:right="428"/>
        <w:rPr>
          <w:rFonts w:ascii="Arial" w:hAnsi="Arial" w:cs="Arial"/>
        </w:rPr>
      </w:pPr>
    </w:p>
    <w:p w14:paraId="3CBFB157" w14:textId="77777777" w:rsidR="00D215AE" w:rsidRPr="00557974" w:rsidRDefault="00D215AE" w:rsidP="00557974">
      <w:pPr>
        <w:tabs>
          <w:tab w:val="left" w:pos="284"/>
        </w:tabs>
        <w:spacing w:before="0" w:beforeAutospacing="0" w:after="0" w:afterAutospacing="0" w:line="240" w:lineRule="auto"/>
        <w:ind w:left="284" w:right="428"/>
        <w:rPr>
          <w:rFonts w:ascii="Arial" w:hAnsi="Arial" w:cs="Arial"/>
          <w:b/>
          <w:color w:val="FF0000"/>
        </w:rPr>
      </w:pPr>
    </w:p>
    <w:p w14:paraId="21033445" w14:textId="77777777" w:rsidR="00836612" w:rsidRDefault="00594CE1" w:rsidP="00AF2A17">
      <w:pPr>
        <w:tabs>
          <w:tab w:val="left" w:pos="284"/>
        </w:tabs>
        <w:spacing w:before="0" w:beforeAutospacing="0" w:after="0" w:afterAutospacing="0" w:line="240" w:lineRule="auto"/>
        <w:ind w:right="428"/>
        <w:rPr>
          <w:rFonts w:ascii="Arial" w:hAnsi="Arial" w:cs="Arial"/>
          <w:b/>
        </w:rPr>
      </w:pPr>
      <w:r w:rsidRPr="00832E1B">
        <w:rPr>
          <w:noProof/>
          <w:lang w:eastAsia="es-CR"/>
        </w:rPr>
        <w:drawing>
          <wp:anchor distT="0" distB="0" distL="114300" distR="114300" simplePos="0" relativeHeight="251829248" behindDoc="0" locked="0" layoutInCell="1" allowOverlap="1" wp14:anchorId="544C62AB" wp14:editId="1172268C">
            <wp:simplePos x="0" y="0"/>
            <wp:positionH relativeFrom="margin">
              <wp:posOffset>-68580</wp:posOffset>
            </wp:positionH>
            <wp:positionV relativeFrom="paragraph">
              <wp:posOffset>13335</wp:posOffset>
            </wp:positionV>
            <wp:extent cx="3328670" cy="2308860"/>
            <wp:effectExtent l="0" t="0" r="508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28670" cy="2308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F8F07E" w14:textId="77777777" w:rsidR="00D81D13" w:rsidRDefault="00D81D13" w:rsidP="00557974">
      <w:pPr>
        <w:pStyle w:val="Standard"/>
        <w:jc w:val="both"/>
        <w:rPr>
          <w:rFonts w:ascii="Arial" w:eastAsiaTheme="minorHAnsi" w:hAnsi="Arial" w:cs="Arial"/>
          <w:b/>
          <w:kern w:val="0"/>
          <w:sz w:val="22"/>
          <w:szCs w:val="22"/>
          <w:lang w:val="es-CR" w:eastAsia="en-US"/>
        </w:rPr>
      </w:pPr>
    </w:p>
    <w:p w14:paraId="732ED8CD" w14:textId="77777777" w:rsidR="00D81D13" w:rsidRDefault="00D81D13" w:rsidP="00557974">
      <w:pPr>
        <w:pStyle w:val="Standard"/>
        <w:jc w:val="both"/>
        <w:rPr>
          <w:rFonts w:ascii="Arial" w:eastAsiaTheme="minorHAnsi" w:hAnsi="Arial" w:cs="Arial"/>
          <w:b/>
          <w:kern w:val="0"/>
          <w:sz w:val="22"/>
          <w:szCs w:val="22"/>
          <w:lang w:val="es-CR" w:eastAsia="en-US"/>
        </w:rPr>
      </w:pPr>
    </w:p>
    <w:p w14:paraId="6740382A" w14:textId="77777777" w:rsidR="00D215AE" w:rsidRDefault="00832E1B" w:rsidP="00557974">
      <w:pPr>
        <w:pStyle w:val="Standard"/>
        <w:jc w:val="both"/>
        <w:rPr>
          <w:rFonts w:ascii="Arial" w:hAnsi="Arial" w:cs="Arial"/>
          <w:color w:val="FF0000"/>
          <w:sz w:val="22"/>
          <w:szCs w:val="22"/>
        </w:rPr>
      </w:pPr>
      <w:r w:rsidRPr="00832E1B">
        <w:rPr>
          <w:rFonts w:ascii="Arial" w:eastAsiaTheme="minorHAnsi" w:hAnsi="Arial" w:cs="Arial"/>
          <w:b/>
          <w:kern w:val="0"/>
          <w:sz w:val="22"/>
          <w:szCs w:val="22"/>
          <w:lang w:val="es-CR" w:eastAsia="en-US"/>
        </w:rPr>
        <w:t xml:space="preserve">Unidad Ejecutora RANC/BCIE 2129: </w:t>
      </w:r>
      <w:r w:rsidRPr="00832E1B">
        <w:rPr>
          <w:rFonts w:ascii="Arial" w:eastAsiaTheme="minorHAnsi" w:hAnsi="Arial" w:cs="Arial"/>
          <w:kern w:val="0"/>
          <w:sz w:val="22"/>
          <w:szCs w:val="22"/>
          <w:lang w:val="es-CR" w:eastAsia="en-US"/>
        </w:rPr>
        <w:t>El presupuesto estimado al mes de diciembre para este programa es de ¢4.164.63 millones, de los cuales se ejecutó la suma ¢950.71 millones con Fondos de Contrapartida, para un 23% del monto estimado</w:t>
      </w:r>
    </w:p>
    <w:p w14:paraId="25B7A1AA" w14:textId="77777777" w:rsidR="00AF2A17" w:rsidRPr="00557974" w:rsidRDefault="00AF2A17" w:rsidP="00557974">
      <w:pPr>
        <w:pStyle w:val="Standard"/>
        <w:jc w:val="both"/>
        <w:rPr>
          <w:rFonts w:ascii="Arial" w:hAnsi="Arial" w:cs="Arial"/>
          <w:color w:val="FF0000"/>
          <w:sz w:val="22"/>
          <w:szCs w:val="22"/>
        </w:rPr>
      </w:pPr>
    </w:p>
    <w:p w14:paraId="10C1BAA5" w14:textId="77777777" w:rsidR="00D215AE" w:rsidRPr="00557974" w:rsidRDefault="00D215AE" w:rsidP="00557974">
      <w:pPr>
        <w:pStyle w:val="Standard"/>
        <w:jc w:val="both"/>
        <w:rPr>
          <w:rFonts w:ascii="Arial" w:hAnsi="Arial" w:cs="Arial"/>
          <w:b/>
          <w:bCs/>
          <w:color w:val="FF0000"/>
          <w:sz w:val="22"/>
          <w:szCs w:val="22"/>
        </w:rPr>
      </w:pPr>
    </w:p>
    <w:p w14:paraId="73221525" w14:textId="77777777" w:rsidR="00D215AE" w:rsidRPr="00557974" w:rsidRDefault="00D215AE" w:rsidP="00557974">
      <w:pPr>
        <w:pStyle w:val="Standard"/>
        <w:jc w:val="both"/>
        <w:rPr>
          <w:rFonts w:ascii="Arial" w:hAnsi="Arial" w:cs="Arial"/>
          <w:b/>
          <w:bCs/>
          <w:color w:val="FF0000"/>
          <w:sz w:val="22"/>
          <w:szCs w:val="22"/>
        </w:rPr>
      </w:pPr>
    </w:p>
    <w:p w14:paraId="7D921809" w14:textId="77777777" w:rsidR="003408D1" w:rsidRDefault="003408D1" w:rsidP="00557974">
      <w:pPr>
        <w:pStyle w:val="Standard"/>
        <w:jc w:val="both"/>
        <w:rPr>
          <w:rFonts w:ascii="Arial" w:hAnsi="Arial" w:cs="Arial"/>
          <w:b/>
          <w:bCs/>
          <w:color w:val="FF0000"/>
          <w:sz w:val="22"/>
          <w:szCs w:val="22"/>
        </w:rPr>
      </w:pPr>
    </w:p>
    <w:p w14:paraId="68B10B2D" w14:textId="77777777" w:rsidR="003408D1" w:rsidRDefault="003408D1" w:rsidP="00557974">
      <w:pPr>
        <w:pStyle w:val="Standard"/>
        <w:jc w:val="both"/>
        <w:rPr>
          <w:rFonts w:ascii="Arial" w:hAnsi="Arial" w:cs="Arial"/>
          <w:b/>
          <w:bCs/>
          <w:color w:val="FF0000"/>
          <w:sz w:val="22"/>
          <w:szCs w:val="22"/>
        </w:rPr>
      </w:pPr>
    </w:p>
    <w:p w14:paraId="6B06AB91" w14:textId="77777777" w:rsidR="00832E1B" w:rsidRDefault="002A7A25" w:rsidP="00557974">
      <w:pPr>
        <w:pStyle w:val="Standard"/>
        <w:jc w:val="both"/>
        <w:rPr>
          <w:rFonts w:ascii="Arial" w:hAnsi="Arial" w:cs="Arial"/>
          <w:b/>
          <w:bCs/>
          <w:sz w:val="22"/>
          <w:szCs w:val="22"/>
        </w:rPr>
      </w:pPr>
      <w:r>
        <w:rPr>
          <w:rFonts w:ascii="Arial" w:hAnsi="Arial" w:cs="Arial"/>
          <w:b/>
          <w:bCs/>
          <w:sz w:val="22"/>
          <w:szCs w:val="22"/>
        </w:rPr>
        <w:t xml:space="preserve">  </w:t>
      </w:r>
    </w:p>
    <w:p w14:paraId="79F0BAEE" w14:textId="77777777" w:rsidR="00832E1B" w:rsidRDefault="00832E1B" w:rsidP="00557974">
      <w:pPr>
        <w:pStyle w:val="Standard"/>
        <w:jc w:val="both"/>
        <w:rPr>
          <w:rFonts w:ascii="Arial" w:hAnsi="Arial" w:cs="Arial"/>
          <w:b/>
          <w:bCs/>
          <w:sz w:val="22"/>
          <w:szCs w:val="22"/>
        </w:rPr>
      </w:pPr>
    </w:p>
    <w:p w14:paraId="234033F9" w14:textId="77777777" w:rsidR="00832E1B" w:rsidRDefault="00832E1B" w:rsidP="00557974">
      <w:pPr>
        <w:pStyle w:val="Standard"/>
        <w:jc w:val="both"/>
        <w:rPr>
          <w:rFonts w:ascii="Arial" w:hAnsi="Arial" w:cs="Arial"/>
          <w:b/>
          <w:bCs/>
          <w:sz w:val="22"/>
          <w:szCs w:val="22"/>
        </w:rPr>
      </w:pPr>
    </w:p>
    <w:p w14:paraId="7116A681" w14:textId="77777777" w:rsidR="00832E1B" w:rsidRDefault="00832E1B" w:rsidP="00557974">
      <w:pPr>
        <w:pStyle w:val="Standard"/>
        <w:jc w:val="both"/>
        <w:rPr>
          <w:rFonts w:ascii="Arial" w:hAnsi="Arial" w:cs="Arial"/>
          <w:b/>
          <w:bCs/>
          <w:sz w:val="22"/>
          <w:szCs w:val="22"/>
        </w:rPr>
      </w:pPr>
    </w:p>
    <w:p w14:paraId="0CFE94E8" w14:textId="77777777" w:rsidR="00832E1B" w:rsidRDefault="00832E1B" w:rsidP="00557974">
      <w:pPr>
        <w:pStyle w:val="Standard"/>
        <w:jc w:val="both"/>
        <w:rPr>
          <w:rFonts w:ascii="Arial" w:hAnsi="Arial" w:cs="Arial"/>
          <w:b/>
          <w:bCs/>
          <w:sz w:val="22"/>
          <w:szCs w:val="22"/>
        </w:rPr>
      </w:pPr>
    </w:p>
    <w:p w14:paraId="1DA34D71" w14:textId="77777777" w:rsidR="00D215AE" w:rsidRPr="003408D1" w:rsidRDefault="00594CE1" w:rsidP="00557974">
      <w:pPr>
        <w:pStyle w:val="Standard"/>
        <w:jc w:val="both"/>
        <w:rPr>
          <w:rFonts w:ascii="Arial" w:hAnsi="Arial" w:cs="Arial"/>
          <w:b/>
          <w:bCs/>
          <w:sz w:val="22"/>
          <w:szCs w:val="22"/>
        </w:rPr>
      </w:pPr>
      <w:r>
        <w:rPr>
          <w:rFonts w:ascii="Arial" w:hAnsi="Arial" w:cs="Arial"/>
          <w:b/>
          <w:bCs/>
          <w:sz w:val="22"/>
          <w:szCs w:val="22"/>
        </w:rPr>
        <w:t xml:space="preserve">                                                                  Gráfico 25</w:t>
      </w:r>
    </w:p>
    <w:p w14:paraId="1CDEB4A1" w14:textId="77777777" w:rsidR="00AF2A17" w:rsidRPr="003408D1" w:rsidRDefault="00AF2A17" w:rsidP="00557974">
      <w:pPr>
        <w:pStyle w:val="Standard"/>
        <w:jc w:val="both"/>
        <w:rPr>
          <w:rFonts w:ascii="Arial" w:hAnsi="Arial" w:cs="Arial"/>
          <w:sz w:val="22"/>
          <w:szCs w:val="22"/>
        </w:rPr>
      </w:pPr>
    </w:p>
    <w:p w14:paraId="26C45064" w14:textId="77777777" w:rsidR="00D81D13" w:rsidRDefault="00D81D13" w:rsidP="00D81D13">
      <w:pPr>
        <w:spacing w:before="0" w:beforeAutospacing="0" w:after="0" w:afterAutospacing="0" w:line="240" w:lineRule="auto"/>
        <w:rPr>
          <w:rFonts w:ascii="Arial" w:eastAsia="Andale Sans UI" w:hAnsi="Arial" w:cs="Arial"/>
          <w:b/>
          <w:kern w:val="3"/>
          <w:lang w:eastAsia="ar-SA"/>
        </w:rPr>
      </w:pPr>
      <w:r w:rsidRPr="00D81D13">
        <w:rPr>
          <w:noProof/>
          <w:lang w:eastAsia="es-CR"/>
        </w:rPr>
        <w:drawing>
          <wp:anchor distT="0" distB="0" distL="114300" distR="114300" simplePos="0" relativeHeight="251830272" behindDoc="0" locked="0" layoutInCell="1" allowOverlap="1" wp14:anchorId="633D75F7" wp14:editId="47E36BE8">
            <wp:simplePos x="0" y="0"/>
            <wp:positionH relativeFrom="margin">
              <wp:posOffset>2524125</wp:posOffset>
            </wp:positionH>
            <wp:positionV relativeFrom="paragraph">
              <wp:posOffset>52705</wp:posOffset>
            </wp:positionV>
            <wp:extent cx="3520440" cy="2339340"/>
            <wp:effectExtent l="0" t="0" r="3810" b="381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20440" cy="2339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4CE63E" w14:textId="77777777" w:rsidR="00D81D13" w:rsidRDefault="00D81D13" w:rsidP="00D81D13">
      <w:pPr>
        <w:spacing w:before="0" w:beforeAutospacing="0" w:after="0" w:afterAutospacing="0" w:line="240" w:lineRule="auto"/>
        <w:rPr>
          <w:rFonts w:ascii="Arial" w:eastAsia="Andale Sans UI" w:hAnsi="Arial" w:cs="Arial"/>
          <w:b/>
          <w:kern w:val="3"/>
          <w:lang w:eastAsia="ar-SA"/>
        </w:rPr>
      </w:pPr>
    </w:p>
    <w:p w14:paraId="2529B12A" w14:textId="77777777" w:rsidR="00D81D13" w:rsidRPr="00D81D13" w:rsidRDefault="00D81D13" w:rsidP="00D81D13">
      <w:pPr>
        <w:spacing w:before="0" w:beforeAutospacing="0" w:after="0" w:afterAutospacing="0" w:line="240" w:lineRule="auto"/>
        <w:rPr>
          <w:rFonts w:ascii="Arial" w:eastAsia="Andale Sans UI" w:hAnsi="Arial" w:cs="Arial"/>
          <w:kern w:val="3"/>
          <w:lang w:eastAsia="ar-SA"/>
        </w:rPr>
      </w:pPr>
      <w:r w:rsidRPr="00D81D13">
        <w:rPr>
          <w:rFonts w:ascii="Arial" w:eastAsia="Andale Sans UI" w:hAnsi="Arial" w:cs="Arial"/>
          <w:b/>
          <w:kern w:val="3"/>
          <w:lang w:eastAsia="ar-SA"/>
        </w:rPr>
        <w:t xml:space="preserve">Proyecto Saneamiento Ambiental: </w:t>
      </w:r>
      <w:r w:rsidRPr="00D81D13">
        <w:rPr>
          <w:rFonts w:ascii="Arial" w:eastAsia="Andale Sans UI" w:hAnsi="Arial" w:cs="Arial"/>
          <w:kern w:val="3"/>
          <w:lang w:eastAsia="ar-SA"/>
        </w:rPr>
        <w:t>Realizó una ejecución de ¢6.104.51 millones con fondos del préstamo japonés, ¢3.813.61 millones con fondos del préstamo Banco Nacional-JBIC y ¢3.595.16 millones con fondos de Contrapartida. La ejecución total ¢13.513.28 millones representa un 57% del monto total estimado para este programa (¢23.684.90 millones).</w:t>
      </w:r>
    </w:p>
    <w:p w14:paraId="4B7E6D87" w14:textId="77777777" w:rsidR="00AF2A17" w:rsidRPr="00AF2A17" w:rsidRDefault="00AF2A17" w:rsidP="00AF2A17">
      <w:pPr>
        <w:pStyle w:val="Sangradetextonormal"/>
        <w:tabs>
          <w:tab w:val="left" w:pos="284"/>
        </w:tabs>
        <w:spacing w:after="0"/>
        <w:ind w:right="428"/>
        <w:jc w:val="both"/>
        <w:rPr>
          <w:rFonts w:ascii="Arial" w:hAnsi="Arial" w:cs="Arial"/>
          <w:sz w:val="22"/>
          <w:szCs w:val="22"/>
        </w:rPr>
      </w:pPr>
    </w:p>
    <w:p w14:paraId="4C3CA2A4" w14:textId="77777777" w:rsidR="00D81D13" w:rsidRDefault="00D81D13" w:rsidP="00AF2A17">
      <w:pPr>
        <w:pStyle w:val="Sangradetextonormal"/>
        <w:tabs>
          <w:tab w:val="left" w:pos="284"/>
        </w:tabs>
        <w:spacing w:after="0"/>
        <w:ind w:left="0" w:right="428"/>
        <w:jc w:val="both"/>
        <w:rPr>
          <w:rFonts w:ascii="Arial" w:hAnsi="Arial" w:cs="Arial"/>
          <w:sz w:val="22"/>
          <w:szCs w:val="22"/>
        </w:rPr>
      </w:pPr>
    </w:p>
    <w:p w14:paraId="4D385C2C" w14:textId="77777777" w:rsidR="00D81D13" w:rsidRDefault="00D81D13" w:rsidP="00AF2A17">
      <w:pPr>
        <w:pStyle w:val="Sangradetextonormal"/>
        <w:tabs>
          <w:tab w:val="left" w:pos="284"/>
        </w:tabs>
        <w:spacing w:after="0"/>
        <w:ind w:left="0" w:right="428"/>
        <w:jc w:val="both"/>
        <w:rPr>
          <w:rFonts w:ascii="Arial" w:hAnsi="Arial" w:cs="Arial"/>
          <w:sz w:val="22"/>
          <w:szCs w:val="22"/>
        </w:rPr>
      </w:pPr>
    </w:p>
    <w:p w14:paraId="0634E1B9" w14:textId="77777777" w:rsidR="00D81D13" w:rsidRDefault="00D81D13" w:rsidP="00AF2A17">
      <w:pPr>
        <w:pStyle w:val="Sangradetextonormal"/>
        <w:tabs>
          <w:tab w:val="left" w:pos="284"/>
        </w:tabs>
        <w:spacing w:after="0"/>
        <w:ind w:left="0" w:right="428"/>
        <w:jc w:val="both"/>
        <w:rPr>
          <w:rFonts w:ascii="Arial" w:hAnsi="Arial" w:cs="Arial"/>
          <w:sz w:val="22"/>
          <w:szCs w:val="22"/>
        </w:rPr>
      </w:pPr>
    </w:p>
    <w:p w14:paraId="35C4329A" w14:textId="77777777" w:rsidR="00D81D13" w:rsidRDefault="00D81D13" w:rsidP="00AF2A17">
      <w:pPr>
        <w:pStyle w:val="Sangradetextonormal"/>
        <w:tabs>
          <w:tab w:val="left" w:pos="284"/>
        </w:tabs>
        <w:spacing w:after="0"/>
        <w:ind w:left="0" w:right="428"/>
        <w:jc w:val="both"/>
        <w:rPr>
          <w:rFonts w:ascii="Arial" w:hAnsi="Arial" w:cs="Arial"/>
          <w:sz w:val="22"/>
          <w:szCs w:val="22"/>
        </w:rPr>
      </w:pPr>
    </w:p>
    <w:p w14:paraId="42D600DB" w14:textId="77777777" w:rsidR="00D81D13" w:rsidRDefault="00D81D13" w:rsidP="00AF2A17">
      <w:pPr>
        <w:pStyle w:val="Sangradetextonormal"/>
        <w:tabs>
          <w:tab w:val="left" w:pos="284"/>
        </w:tabs>
        <w:spacing w:after="0"/>
        <w:ind w:left="0" w:right="428"/>
        <w:jc w:val="both"/>
        <w:rPr>
          <w:rFonts w:ascii="Arial" w:hAnsi="Arial" w:cs="Arial"/>
          <w:sz w:val="22"/>
          <w:szCs w:val="22"/>
        </w:rPr>
      </w:pPr>
    </w:p>
    <w:p w14:paraId="26EBB344" w14:textId="77777777" w:rsidR="00D81D13" w:rsidRDefault="00D81D13" w:rsidP="00AF2A17">
      <w:pPr>
        <w:pStyle w:val="Sangradetextonormal"/>
        <w:tabs>
          <w:tab w:val="left" w:pos="284"/>
        </w:tabs>
        <w:spacing w:after="0"/>
        <w:ind w:left="0" w:right="428"/>
        <w:jc w:val="both"/>
        <w:rPr>
          <w:rFonts w:ascii="Arial" w:hAnsi="Arial" w:cs="Arial"/>
          <w:sz w:val="22"/>
          <w:szCs w:val="22"/>
        </w:rPr>
      </w:pPr>
    </w:p>
    <w:p w14:paraId="3B490C26" w14:textId="77777777" w:rsidR="00D81D13" w:rsidRDefault="00D81D13" w:rsidP="00AF2A17">
      <w:pPr>
        <w:pStyle w:val="Sangradetextonormal"/>
        <w:tabs>
          <w:tab w:val="left" w:pos="284"/>
        </w:tabs>
        <w:spacing w:after="0"/>
        <w:ind w:left="0" w:right="428"/>
        <w:jc w:val="both"/>
        <w:rPr>
          <w:rFonts w:ascii="Arial" w:hAnsi="Arial" w:cs="Arial"/>
          <w:sz w:val="22"/>
          <w:szCs w:val="22"/>
        </w:rPr>
      </w:pPr>
    </w:p>
    <w:p w14:paraId="7C63DC7A" w14:textId="77777777" w:rsidR="00D81D13" w:rsidRDefault="001F3044" w:rsidP="001F3044">
      <w:pPr>
        <w:pStyle w:val="Sangradetextonormal"/>
        <w:tabs>
          <w:tab w:val="left" w:pos="284"/>
        </w:tabs>
        <w:spacing w:after="0"/>
        <w:ind w:left="0" w:right="428"/>
        <w:jc w:val="right"/>
        <w:rPr>
          <w:rFonts w:ascii="Arial" w:hAnsi="Arial" w:cs="Arial"/>
          <w:sz w:val="22"/>
          <w:szCs w:val="22"/>
        </w:rPr>
      </w:pPr>
      <w:r>
        <w:rPr>
          <w:rFonts w:ascii="Arial" w:hAnsi="Arial" w:cs="Arial"/>
          <w:sz w:val="22"/>
          <w:szCs w:val="22"/>
        </w:rPr>
        <w:t>43</w:t>
      </w:r>
    </w:p>
    <w:p w14:paraId="1E0E29E3" w14:textId="77777777" w:rsidR="00D81D13" w:rsidRDefault="00D81D13" w:rsidP="00AF2A17">
      <w:pPr>
        <w:pStyle w:val="Sangradetextonormal"/>
        <w:tabs>
          <w:tab w:val="left" w:pos="284"/>
        </w:tabs>
        <w:spacing w:after="0"/>
        <w:ind w:left="0" w:right="428"/>
        <w:jc w:val="both"/>
        <w:rPr>
          <w:rFonts w:ascii="Arial" w:hAnsi="Arial" w:cs="Arial"/>
          <w:sz w:val="22"/>
          <w:szCs w:val="22"/>
        </w:rPr>
      </w:pPr>
    </w:p>
    <w:p w14:paraId="20699CCB" w14:textId="77777777" w:rsidR="00D81D13" w:rsidRDefault="00594CE1" w:rsidP="00AF2A17">
      <w:pPr>
        <w:pStyle w:val="Sangradetextonormal"/>
        <w:tabs>
          <w:tab w:val="left" w:pos="284"/>
        </w:tabs>
        <w:spacing w:after="0"/>
        <w:ind w:left="0" w:right="428"/>
        <w:jc w:val="both"/>
        <w:rPr>
          <w:rFonts w:ascii="Arial" w:hAnsi="Arial" w:cs="Arial"/>
          <w:sz w:val="22"/>
          <w:szCs w:val="22"/>
        </w:rPr>
      </w:pPr>
      <w:r>
        <w:rPr>
          <w:rFonts w:ascii="Arial" w:hAnsi="Arial" w:cs="Arial"/>
          <w:b/>
          <w:bCs/>
          <w:sz w:val="22"/>
          <w:szCs w:val="22"/>
        </w:rPr>
        <w:t>Gráfico 26</w:t>
      </w:r>
    </w:p>
    <w:p w14:paraId="0EB0DB7C" w14:textId="77777777" w:rsidR="00AF2A17" w:rsidRDefault="00D81D13" w:rsidP="00D81D13">
      <w:pPr>
        <w:pStyle w:val="Sangradetextonormal"/>
        <w:tabs>
          <w:tab w:val="left" w:pos="284"/>
        </w:tabs>
        <w:spacing w:after="0"/>
        <w:ind w:left="0" w:right="428"/>
        <w:jc w:val="both"/>
        <w:rPr>
          <w:rFonts w:ascii="Arial" w:hAnsi="Arial" w:cs="Arial"/>
          <w:sz w:val="22"/>
          <w:szCs w:val="22"/>
        </w:rPr>
      </w:pPr>
      <w:r w:rsidRPr="00D81D13">
        <w:rPr>
          <w:noProof/>
          <w:lang w:eastAsia="es-CR"/>
        </w:rPr>
        <w:drawing>
          <wp:anchor distT="0" distB="0" distL="114300" distR="114300" simplePos="0" relativeHeight="251831296" behindDoc="0" locked="0" layoutInCell="1" allowOverlap="1" wp14:anchorId="7AAF81B0" wp14:editId="3A0F380C">
            <wp:simplePos x="0" y="0"/>
            <wp:positionH relativeFrom="margin">
              <wp:align>left</wp:align>
            </wp:positionH>
            <wp:positionV relativeFrom="paragraph">
              <wp:posOffset>158750</wp:posOffset>
            </wp:positionV>
            <wp:extent cx="3421380" cy="2273300"/>
            <wp:effectExtent l="0" t="0" r="762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21380" cy="227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E0DF51" w14:textId="77777777" w:rsidR="00D81D13" w:rsidRDefault="00D81D13" w:rsidP="00D81D13">
      <w:pPr>
        <w:pStyle w:val="Sangradetextonormal"/>
        <w:tabs>
          <w:tab w:val="left" w:pos="284"/>
        </w:tabs>
        <w:spacing w:after="0"/>
        <w:ind w:left="0" w:right="428"/>
        <w:jc w:val="both"/>
        <w:rPr>
          <w:rFonts w:ascii="Arial" w:hAnsi="Arial" w:cs="Arial"/>
          <w:sz w:val="22"/>
          <w:szCs w:val="22"/>
        </w:rPr>
      </w:pPr>
    </w:p>
    <w:p w14:paraId="1AE3F3E7" w14:textId="77777777" w:rsidR="00D81D13" w:rsidRDefault="00D81D13" w:rsidP="00D81D13">
      <w:pPr>
        <w:pStyle w:val="Sangradetextonormal"/>
        <w:tabs>
          <w:tab w:val="left" w:pos="284"/>
        </w:tabs>
        <w:spacing w:after="0"/>
        <w:ind w:left="0" w:right="428"/>
        <w:jc w:val="both"/>
        <w:rPr>
          <w:rFonts w:ascii="Arial" w:hAnsi="Arial" w:cs="Arial"/>
          <w:sz w:val="22"/>
          <w:szCs w:val="22"/>
        </w:rPr>
      </w:pPr>
    </w:p>
    <w:p w14:paraId="3610B7B7" w14:textId="77777777" w:rsidR="00D81D13" w:rsidRDefault="00D81D13" w:rsidP="00D81D13">
      <w:pPr>
        <w:pStyle w:val="Sangradetextonormal"/>
        <w:tabs>
          <w:tab w:val="left" w:pos="284"/>
        </w:tabs>
        <w:spacing w:after="0"/>
        <w:ind w:left="0" w:right="428"/>
        <w:jc w:val="both"/>
        <w:rPr>
          <w:rFonts w:ascii="Arial" w:hAnsi="Arial" w:cs="Arial"/>
          <w:sz w:val="22"/>
          <w:szCs w:val="22"/>
        </w:rPr>
      </w:pPr>
    </w:p>
    <w:p w14:paraId="3A64B64E" w14:textId="77777777" w:rsidR="00D81D13" w:rsidRDefault="00D81D13" w:rsidP="00D81D13">
      <w:pPr>
        <w:pStyle w:val="Sangradetextonormal"/>
        <w:tabs>
          <w:tab w:val="left" w:pos="284"/>
        </w:tabs>
        <w:spacing w:after="0"/>
        <w:ind w:left="0" w:right="428"/>
        <w:jc w:val="both"/>
        <w:rPr>
          <w:rFonts w:ascii="Arial" w:hAnsi="Arial" w:cs="Arial"/>
          <w:sz w:val="22"/>
          <w:szCs w:val="22"/>
        </w:rPr>
      </w:pPr>
      <w:r w:rsidRPr="00D81D13">
        <w:rPr>
          <w:rFonts w:ascii="Arial" w:hAnsi="Arial" w:cs="Arial"/>
          <w:sz w:val="22"/>
          <w:szCs w:val="22"/>
        </w:rPr>
        <w:t>El presupuesto del Préstamo BID 2493 OC-R al mes de diciembre asciende a ¢4.917.04 millones y se logró una ejecución total de ¢2.218.37 millones equivalente al 45% del monto estimado cuya distribución es la siguiente:</w:t>
      </w:r>
    </w:p>
    <w:p w14:paraId="44B2AB79" w14:textId="77777777" w:rsidR="00D81D13" w:rsidRDefault="00D81D13" w:rsidP="00D81D13">
      <w:pPr>
        <w:pStyle w:val="Sangradetextonormal"/>
        <w:tabs>
          <w:tab w:val="left" w:pos="284"/>
        </w:tabs>
        <w:spacing w:after="0"/>
        <w:ind w:left="0" w:right="428"/>
        <w:jc w:val="both"/>
        <w:rPr>
          <w:rFonts w:ascii="Arial" w:hAnsi="Arial" w:cs="Arial"/>
          <w:sz w:val="22"/>
          <w:szCs w:val="22"/>
        </w:rPr>
      </w:pPr>
    </w:p>
    <w:p w14:paraId="15691255" w14:textId="77777777" w:rsidR="00D81D13" w:rsidRPr="00D81D13" w:rsidRDefault="00D81D13" w:rsidP="00D81D13">
      <w:pPr>
        <w:pStyle w:val="Sangradetextonormal"/>
        <w:tabs>
          <w:tab w:val="left" w:pos="284"/>
        </w:tabs>
        <w:spacing w:after="0"/>
        <w:ind w:left="0" w:right="428"/>
        <w:jc w:val="both"/>
        <w:rPr>
          <w:rFonts w:ascii="Arial" w:hAnsi="Arial" w:cs="Arial"/>
          <w:sz w:val="22"/>
          <w:szCs w:val="22"/>
        </w:rPr>
      </w:pPr>
    </w:p>
    <w:p w14:paraId="7AF10464" w14:textId="77777777" w:rsidR="00D81D13" w:rsidRPr="00D81D13" w:rsidRDefault="00D81D13" w:rsidP="00D81D13">
      <w:pPr>
        <w:pStyle w:val="Sangradetextonormal"/>
        <w:tabs>
          <w:tab w:val="left" w:pos="284"/>
        </w:tabs>
        <w:spacing w:after="0"/>
        <w:ind w:right="428"/>
        <w:jc w:val="both"/>
        <w:rPr>
          <w:rFonts w:ascii="Arial" w:hAnsi="Arial" w:cs="Arial"/>
          <w:sz w:val="22"/>
          <w:szCs w:val="22"/>
        </w:rPr>
      </w:pPr>
    </w:p>
    <w:p w14:paraId="0B427568" w14:textId="77777777" w:rsidR="00D81D13" w:rsidRPr="00D81D13" w:rsidRDefault="00D81D13" w:rsidP="00594CE1">
      <w:pPr>
        <w:pStyle w:val="Sangradetextonormal"/>
        <w:numPr>
          <w:ilvl w:val="0"/>
          <w:numId w:val="40"/>
        </w:numPr>
        <w:tabs>
          <w:tab w:val="left" w:pos="284"/>
        </w:tabs>
        <w:spacing w:after="0"/>
        <w:ind w:right="428"/>
        <w:jc w:val="both"/>
        <w:rPr>
          <w:rFonts w:ascii="Arial" w:hAnsi="Arial" w:cs="Arial"/>
          <w:sz w:val="22"/>
          <w:szCs w:val="22"/>
        </w:rPr>
      </w:pPr>
      <w:r w:rsidRPr="00D81D13">
        <w:rPr>
          <w:rFonts w:ascii="Arial" w:hAnsi="Arial" w:cs="Arial"/>
          <w:sz w:val="22"/>
          <w:szCs w:val="22"/>
        </w:rPr>
        <w:t xml:space="preserve">Componente Saneamiento Ambiental realizó una ejecución ¢480.16 millones con fondos del préstamo y ejecutó ¢978.79 millones con fondos de contrapartida. </w:t>
      </w:r>
    </w:p>
    <w:p w14:paraId="0F9EBAAD" w14:textId="77777777" w:rsidR="00D81D13" w:rsidRPr="00D81D13" w:rsidRDefault="00D81D13" w:rsidP="00594CE1">
      <w:pPr>
        <w:pStyle w:val="Sangradetextonormal"/>
        <w:numPr>
          <w:ilvl w:val="0"/>
          <w:numId w:val="40"/>
        </w:numPr>
        <w:tabs>
          <w:tab w:val="left" w:pos="284"/>
        </w:tabs>
        <w:spacing w:after="0"/>
        <w:ind w:right="428"/>
        <w:jc w:val="both"/>
        <w:rPr>
          <w:rFonts w:ascii="Arial" w:hAnsi="Arial" w:cs="Arial"/>
          <w:sz w:val="22"/>
          <w:szCs w:val="22"/>
        </w:rPr>
      </w:pPr>
      <w:r w:rsidRPr="00D81D13">
        <w:rPr>
          <w:rFonts w:ascii="Arial" w:hAnsi="Arial" w:cs="Arial"/>
          <w:sz w:val="22"/>
          <w:szCs w:val="22"/>
        </w:rPr>
        <w:t>Componente Periurbanos no realizó ejecución alguna con fondos del préstamo, y ejecutó ¢61.87 millones con fondos de contrapartida.</w:t>
      </w:r>
    </w:p>
    <w:p w14:paraId="576C328C" w14:textId="77777777" w:rsidR="00D81D13" w:rsidRPr="00D81D13" w:rsidRDefault="00D81D13" w:rsidP="00594CE1">
      <w:pPr>
        <w:pStyle w:val="Sangradetextonormal"/>
        <w:numPr>
          <w:ilvl w:val="0"/>
          <w:numId w:val="40"/>
        </w:numPr>
        <w:tabs>
          <w:tab w:val="left" w:pos="284"/>
        </w:tabs>
        <w:spacing w:after="0"/>
        <w:ind w:right="428"/>
        <w:jc w:val="both"/>
        <w:rPr>
          <w:rFonts w:ascii="Arial" w:hAnsi="Arial" w:cs="Arial"/>
          <w:sz w:val="22"/>
          <w:szCs w:val="22"/>
        </w:rPr>
      </w:pPr>
      <w:r w:rsidRPr="00D81D13">
        <w:rPr>
          <w:rFonts w:ascii="Arial" w:hAnsi="Arial" w:cs="Arial"/>
          <w:sz w:val="22"/>
          <w:szCs w:val="22"/>
        </w:rPr>
        <w:t>Componente financiado por FECASALC, ejecutó la suma de ¢92.17 millones en fondos específicos y ¢605.38 millones con fondos de contrapartida.</w:t>
      </w:r>
    </w:p>
    <w:p w14:paraId="6CDC0B6F" w14:textId="77777777" w:rsidR="00D81D13" w:rsidRDefault="00D81D13" w:rsidP="00D45252">
      <w:pPr>
        <w:pStyle w:val="Standard"/>
        <w:jc w:val="both"/>
        <w:rPr>
          <w:rFonts w:ascii="Arial" w:hAnsi="Arial" w:cs="Arial"/>
          <w:sz w:val="22"/>
          <w:szCs w:val="22"/>
        </w:rPr>
      </w:pPr>
    </w:p>
    <w:p w14:paraId="50AF94B7" w14:textId="77777777" w:rsidR="00D81D13" w:rsidRDefault="00D81D13" w:rsidP="00D45252">
      <w:pPr>
        <w:pStyle w:val="Standard"/>
        <w:jc w:val="both"/>
        <w:rPr>
          <w:rFonts w:ascii="Arial" w:hAnsi="Arial" w:cs="Arial"/>
          <w:sz w:val="22"/>
          <w:szCs w:val="22"/>
        </w:rPr>
      </w:pPr>
    </w:p>
    <w:p w14:paraId="7AE8FFD4" w14:textId="77777777" w:rsidR="00393A4F" w:rsidRPr="00393A4F" w:rsidRDefault="00393A4F" w:rsidP="00393A4F">
      <w:pPr>
        <w:pStyle w:val="Standard"/>
        <w:jc w:val="both"/>
        <w:rPr>
          <w:rFonts w:ascii="Arial" w:hAnsi="Arial" w:cs="Arial"/>
          <w:sz w:val="22"/>
          <w:szCs w:val="22"/>
        </w:rPr>
      </w:pPr>
      <w:r w:rsidRPr="00393A4F">
        <w:rPr>
          <w:rFonts w:ascii="Arial" w:hAnsi="Arial" w:cs="Arial"/>
          <w:sz w:val="22"/>
          <w:szCs w:val="22"/>
        </w:rPr>
        <w:t>Al mes de diciembre las inversiones correspondientes a obras de acueducto, alcantarillado, hidrantes y otros proyectos financiados con fondos corrientes lograron una ejecución de ¢27.267.22 millones del total de presupuesto asignado al 31 de diciembre (¢43.983.65 millones) que representa un 62%.</w:t>
      </w:r>
    </w:p>
    <w:p w14:paraId="57AB4F91" w14:textId="77777777" w:rsidR="00393A4F" w:rsidRPr="00393A4F" w:rsidRDefault="00393A4F" w:rsidP="00393A4F">
      <w:pPr>
        <w:pStyle w:val="Standard"/>
        <w:jc w:val="both"/>
        <w:rPr>
          <w:rFonts w:ascii="Arial" w:hAnsi="Arial" w:cs="Arial"/>
          <w:sz w:val="22"/>
          <w:szCs w:val="22"/>
        </w:rPr>
      </w:pPr>
    </w:p>
    <w:p w14:paraId="621848B6" w14:textId="77777777" w:rsidR="00393A4F" w:rsidRPr="00393A4F" w:rsidRDefault="00393A4F" w:rsidP="00393A4F">
      <w:pPr>
        <w:pStyle w:val="Standard"/>
        <w:jc w:val="both"/>
        <w:rPr>
          <w:rFonts w:ascii="Arial" w:hAnsi="Arial" w:cs="Arial"/>
          <w:sz w:val="22"/>
          <w:szCs w:val="22"/>
        </w:rPr>
      </w:pPr>
      <w:r w:rsidRPr="00393A4F">
        <w:rPr>
          <w:rFonts w:ascii="Arial" w:hAnsi="Arial" w:cs="Arial"/>
          <w:sz w:val="22"/>
          <w:szCs w:val="22"/>
        </w:rPr>
        <w:t>El Plan de Inversiones del Programa de Hidrantes presenta una ejecución de ¢1.927.44 millones contra una estimación de ¢2.804.11 millones, suma que representa una ejecución alcanzada del 69% del presupuesto estimado.</w:t>
      </w:r>
    </w:p>
    <w:p w14:paraId="58AA628E" w14:textId="77777777" w:rsidR="00393A4F" w:rsidRPr="00393A4F" w:rsidRDefault="00393A4F" w:rsidP="00393A4F">
      <w:pPr>
        <w:pStyle w:val="Standard"/>
        <w:jc w:val="both"/>
        <w:rPr>
          <w:rFonts w:ascii="Arial" w:hAnsi="Arial" w:cs="Arial"/>
          <w:sz w:val="22"/>
          <w:szCs w:val="22"/>
        </w:rPr>
      </w:pPr>
    </w:p>
    <w:p w14:paraId="1B93C5C5" w14:textId="77777777" w:rsidR="0059516C" w:rsidRDefault="00393A4F" w:rsidP="00393A4F">
      <w:pPr>
        <w:pStyle w:val="Standard"/>
        <w:jc w:val="both"/>
        <w:rPr>
          <w:rFonts w:ascii="Arial" w:hAnsi="Arial" w:cs="Arial"/>
          <w:b/>
          <w:color w:val="FF0000"/>
        </w:rPr>
      </w:pPr>
      <w:r w:rsidRPr="00393A4F">
        <w:rPr>
          <w:rFonts w:ascii="Arial" w:hAnsi="Arial" w:cs="Arial"/>
          <w:sz w:val="22"/>
          <w:szCs w:val="22"/>
        </w:rPr>
        <w:t>Al 31 de diciembre, dentro de las inversiones títulos valores se mantiene en el Plan de Inversiones una reserva ajustada por la suma de ¢7.098.00 millones (¢9.320.00 millones al 31 de diciembre menos ¢2.222.00 millones ejecutados como ajuste aplicar).</w:t>
      </w:r>
    </w:p>
    <w:p w14:paraId="0F16C46D" w14:textId="77777777" w:rsidR="0059516C" w:rsidRDefault="0059516C" w:rsidP="00393A4F">
      <w:pPr>
        <w:pStyle w:val="Standard"/>
        <w:jc w:val="both"/>
        <w:rPr>
          <w:rFonts w:ascii="Arial" w:hAnsi="Arial" w:cs="Arial"/>
          <w:b/>
          <w:color w:val="FF0000"/>
        </w:rPr>
      </w:pPr>
    </w:p>
    <w:p w14:paraId="777A435D" w14:textId="77777777" w:rsidR="00393A4F" w:rsidRDefault="00393A4F" w:rsidP="00D215AE">
      <w:pPr>
        <w:pStyle w:val="Standard"/>
        <w:jc w:val="center"/>
        <w:rPr>
          <w:rFonts w:ascii="Arial" w:hAnsi="Arial" w:cs="Arial"/>
          <w:b/>
          <w:color w:val="FF0000"/>
        </w:rPr>
      </w:pPr>
    </w:p>
    <w:p w14:paraId="287748B6" w14:textId="77777777" w:rsidR="00393A4F" w:rsidRDefault="00393A4F" w:rsidP="00D215AE">
      <w:pPr>
        <w:pStyle w:val="Standard"/>
        <w:jc w:val="center"/>
        <w:rPr>
          <w:rFonts w:ascii="Arial" w:hAnsi="Arial" w:cs="Arial"/>
          <w:b/>
          <w:color w:val="FF0000"/>
        </w:rPr>
      </w:pPr>
    </w:p>
    <w:p w14:paraId="032D46C3" w14:textId="77777777" w:rsidR="00393A4F" w:rsidRDefault="00393A4F" w:rsidP="00D215AE">
      <w:pPr>
        <w:pStyle w:val="Standard"/>
        <w:jc w:val="center"/>
        <w:rPr>
          <w:rFonts w:ascii="Arial" w:hAnsi="Arial" w:cs="Arial"/>
          <w:b/>
          <w:color w:val="FF0000"/>
        </w:rPr>
      </w:pPr>
    </w:p>
    <w:p w14:paraId="7B0055BE" w14:textId="77777777" w:rsidR="00393A4F" w:rsidRDefault="00393A4F" w:rsidP="00D215AE">
      <w:pPr>
        <w:pStyle w:val="Standard"/>
        <w:jc w:val="center"/>
        <w:rPr>
          <w:rFonts w:ascii="Arial" w:hAnsi="Arial" w:cs="Arial"/>
          <w:b/>
          <w:color w:val="FF0000"/>
        </w:rPr>
      </w:pPr>
    </w:p>
    <w:p w14:paraId="56E64EFD" w14:textId="77777777" w:rsidR="00393A4F" w:rsidRDefault="00393A4F" w:rsidP="00D215AE">
      <w:pPr>
        <w:pStyle w:val="Standard"/>
        <w:jc w:val="center"/>
        <w:rPr>
          <w:rFonts w:ascii="Arial" w:hAnsi="Arial" w:cs="Arial"/>
          <w:b/>
          <w:color w:val="FF0000"/>
        </w:rPr>
      </w:pPr>
    </w:p>
    <w:p w14:paraId="5C711F25" w14:textId="77777777" w:rsidR="00393A4F" w:rsidRPr="001F3044" w:rsidRDefault="001F3044" w:rsidP="001F3044">
      <w:pPr>
        <w:pStyle w:val="Standard"/>
        <w:jc w:val="right"/>
        <w:rPr>
          <w:rFonts w:ascii="Arial" w:hAnsi="Arial" w:cs="Arial"/>
          <w:sz w:val="22"/>
          <w:szCs w:val="22"/>
        </w:rPr>
      </w:pPr>
      <w:r w:rsidRPr="001F3044">
        <w:rPr>
          <w:rFonts w:ascii="Arial" w:hAnsi="Arial" w:cs="Arial"/>
          <w:sz w:val="22"/>
          <w:szCs w:val="22"/>
        </w:rPr>
        <w:t>44</w:t>
      </w:r>
    </w:p>
    <w:p w14:paraId="7AC4A31B" w14:textId="77777777" w:rsidR="0059516C" w:rsidRDefault="0059516C" w:rsidP="00D215AE">
      <w:pPr>
        <w:pStyle w:val="Standard"/>
        <w:jc w:val="center"/>
        <w:rPr>
          <w:rFonts w:ascii="Arial" w:hAnsi="Arial" w:cs="Arial"/>
          <w:b/>
          <w:color w:val="FF0000"/>
        </w:rPr>
      </w:pPr>
    </w:p>
    <w:p w14:paraId="64B24CC0" w14:textId="77777777" w:rsidR="00D215AE" w:rsidRPr="00F73285" w:rsidRDefault="00D215AE" w:rsidP="00D215AE">
      <w:pPr>
        <w:pStyle w:val="Standard"/>
        <w:jc w:val="center"/>
        <w:rPr>
          <w:rFonts w:ascii="Arial" w:hAnsi="Arial" w:cs="Arial"/>
          <w:b/>
        </w:rPr>
      </w:pPr>
      <w:r w:rsidRPr="00F73285">
        <w:rPr>
          <w:rFonts w:ascii="Arial" w:hAnsi="Arial" w:cs="Arial"/>
          <w:b/>
        </w:rPr>
        <w:t>CONCLUSIONES</w:t>
      </w:r>
    </w:p>
    <w:p w14:paraId="27374B07" w14:textId="77777777" w:rsidR="00557974" w:rsidRPr="00F73285" w:rsidRDefault="00557974" w:rsidP="00D215AE">
      <w:pPr>
        <w:pStyle w:val="Standard"/>
        <w:jc w:val="center"/>
        <w:rPr>
          <w:rFonts w:ascii="Arial" w:hAnsi="Arial" w:cs="Arial"/>
          <w:b/>
        </w:rPr>
      </w:pPr>
    </w:p>
    <w:p w14:paraId="0F4606E4" w14:textId="77777777" w:rsidR="00D215AE" w:rsidRPr="00F73285" w:rsidRDefault="00D215AE" w:rsidP="00D215AE">
      <w:pPr>
        <w:pStyle w:val="Standard"/>
        <w:jc w:val="both"/>
        <w:rPr>
          <w:rFonts w:ascii="Arial" w:hAnsi="Arial" w:cs="Arial"/>
          <w:sz w:val="22"/>
          <w:szCs w:val="22"/>
        </w:rPr>
      </w:pPr>
      <w:r w:rsidRPr="00F73285">
        <w:rPr>
          <w:rFonts w:ascii="Arial" w:hAnsi="Arial" w:cs="Arial"/>
          <w:sz w:val="22"/>
          <w:szCs w:val="22"/>
        </w:rPr>
        <w:t>Según los estados incluidos en este Informe Financiero Ejecutivo com</w:t>
      </w:r>
      <w:r w:rsidR="00E86356">
        <w:rPr>
          <w:rFonts w:ascii="Arial" w:hAnsi="Arial" w:cs="Arial"/>
          <w:sz w:val="22"/>
          <w:szCs w:val="22"/>
        </w:rPr>
        <w:t>parativo entre los períodos dic</w:t>
      </w:r>
      <w:r w:rsidR="00D45252">
        <w:rPr>
          <w:rFonts w:ascii="Arial" w:hAnsi="Arial" w:cs="Arial"/>
          <w:sz w:val="22"/>
          <w:szCs w:val="22"/>
        </w:rPr>
        <w:t>iembre</w:t>
      </w:r>
      <w:r w:rsidRPr="00F73285">
        <w:rPr>
          <w:rFonts w:ascii="Arial" w:hAnsi="Arial" w:cs="Arial"/>
          <w:sz w:val="22"/>
          <w:szCs w:val="22"/>
        </w:rPr>
        <w:t xml:space="preserve"> 2017 – 2018 se deduce lo siguiente:</w:t>
      </w:r>
    </w:p>
    <w:p w14:paraId="0C8306EA" w14:textId="77777777" w:rsidR="00557974" w:rsidRDefault="00557974" w:rsidP="00D215AE">
      <w:pPr>
        <w:pStyle w:val="Standard"/>
        <w:jc w:val="both"/>
        <w:rPr>
          <w:rFonts w:ascii="Arial" w:hAnsi="Arial" w:cs="Arial"/>
          <w:color w:val="FF0000"/>
          <w:sz w:val="22"/>
          <w:szCs w:val="22"/>
        </w:rPr>
      </w:pPr>
    </w:p>
    <w:p w14:paraId="19ACE752" w14:textId="77777777" w:rsidR="0062408D" w:rsidRDefault="00E26B0C" w:rsidP="00594CE1">
      <w:pPr>
        <w:pStyle w:val="Prrafodelista"/>
        <w:numPr>
          <w:ilvl w:val="0"/>
          <w:numId w:val="38"/>
        </w:numPr>
        <w:suppressAutoHyphens/>
        <w:spacing w:before="0" w:beforeAutospacing="0" w:after="0" w:afterAutospacing="0" w:line="240" w:lineRule="auto"/>
        <w:rPr>
          <w:rFonts w:ascii="Arial" w:eastAsia="Times New Roman" w:hAnsi="Arial" w:cs="Arial"/>
          <w:kern w:val="1"/>
          <w:lang w:eastAsia="ar-SA"/>
        </w:rPr>
      </w:pPr>
      <w:r w:rsidRPr="00E26B0C">
        <w:rPr>
          <w:rFonts w:ascii="Arial" w:eastAsia="Times New Roman" w:hAnsi="Arial" w:cs="Arial"/>
          <w:kern w:val="1"/>
          <w:lang w:eastAsia="ar-SA"/>
        </w:rPr>
        <w:t xml:space="preserve">El Estado de Situación Financiera muestra un aumento de ¢65.426 millones en el </w:t>
      </w:r>
    </w:p>
    <w:p w14:paraId="193303FE" w14:textId="77777777" w:rsidR="00C93990" w:rsidRDefault="0062408D" w:rsidP="00594CE1">
      <w:pPr>
        <w:pStyle w:val="Prrafodelista"/>
        <w:numPr>
          <w:ilvl w:val="0"/>
          <w:numId w:val="38"/>
        </w:numPr>
        <w:suppressAutoHyphens/>
        <w:spacing w:before="0" w:beforeAutospacing="0" w:after="0" w:afterAutospacing="0" w:line="240" w:lineRule="auto"/>
        <w:rPr>
          <w:rFonts w:ascii="Arial" w:eastAsia="Times New Roman" w:hAnsi="Arial" w:cs="Arial"/>
          <w:kern w:val="1"/>
          <w:lang w:eastAsia="ar-SA"/>
        </w:rPr>
      </w:pPr>
      <w:r>
        <w:rPr>
          <w:rFonts w:ascii="Arial" w:eastAsia="Times New Roman" w:hAnsi="Arial" w:cs="Arial"/>
          <w:kern w:val="1"/>
          <w:lang w:eastAsia="ar-SA"/>
        </w:rPr>
        <w:t>0</w:t>
      </w:r>
      <w:r w:rsidR="00E26B0C" w:rsidRPr="002C198A">
        <w:rPr>
          <w:rFonts w:ascii="Arial" w:eastAsia="Times New Roman" w:hAnsi="Arial" w:cs="Arial"/>
          <w:b/>
          <w:kern w:val="1"/>
          <w:lang w:eastAsia="ar-SA"/>
        </w:rPr>
        <w:t>Activo Total</w:t>
      </w:r>
      <w:r w:rsidR="00E26B0C" w:rsidRPr="00E26B0C">
        <w:rPr>
          <w:rFonts w:ascii="Arial" w:eastAsia="Times New Roman" w:hAnsi="Arial" w:cs="Arial"/>
          <w:kern w:val="1"/>
          <w:lang w:eastAsia="ar-SA"/>
        </w:rPr>
        <w:t>, ya que pasa de ¢744.362 millones en diciembre 2017 a ¢809.789 millones en diciembre 2018.</w:t>
      </w:r>
    </w:p>
    <w:p w14:paraId="552CDA86" w14:textId="77777777" w:rsidR="001528C4" w:rsidRPr="001321AE" w:rsidRDefault="001528C4" w:rsidP="001528C4">
      <w:pPr>
        <w:pStyle w:val="Prrafodelista"/>
        <w:suppressAutoHyphens/>
        <w:spacing w:before="0" w:beforeAutospacing="0" w:after="0" w:afterAutospacing="0" w:line="240" w:lineRule="auto"/>
        <w:rPr>
          <w:rFonts w:ascii="Arial" w:eastAsia="Times New Roman" w:hAnsi="Arial" w:cs="Arial"/>
          <w:kern w:val="1"/>
          <w:lang w:eastAsia="ar-SA"/>
        </w:rPr>
      </w:pPr>
    </w:p>
    <w:p w14:paraId="34C829D0" w14:textId="77777777" w:rsidR="00F73285" w:rsidRPr="001321AE" w:rsidRDefault="002C198A" w:rsidP="00594CE1">
      <w:pPr>
        <w:pStyle w:val="Prrafodelista"/>
        <w:numPr>
          <w:ilvl w:val="0"/>
          <w:numId w:val="38"/>
        </w:numPr>
        <w:suppressAutoHyphens/>
        <w:spacing w:before="0" w:beforeAutospacing="0" w:after="0" w:afterAutospacing="0" w:line="240" w:lineRule="auto"/>
        <w:rPr>
          <w:rFonts w:ascii="Arial" w:eastAsia="Times New Roman" w:hAnsi="Arial" w:cs="Arial"/>
          <w:kern w:val="1"/>
          <w:lang w:eastAsia="ar-SA"/>
        </w:rPr>
      </w:pPr>
      <w:r w:rsidRPr="002C198A">
        <w:rPr>
          <w:rFonts w:ascii="Arial" w:eastAsia="Times New Roman" w:hAnsi="Arial" w:cs="Arial"/>
          <w:kern w:val="1"/>
          <w:lang w:eastAsia="ar-SA"/>
        </w:rPr>
        <w:t xml:space="preserve">El </w:t>
      </w:r>
      <w:r w:rsidRPr="002C198A">
        <w:rPr>
          <w:rFonts w:ascii="Arial" w:eastAsia="Times New Roman" w:hAnsi="Arial" w:cs="Arial"/>
          <w:b/>
          <w:kern w:val="1"/>
          <w:lang w:eastAsia="ar-SA"/>
        </w:rPr>
        <w:t>Activo Corriente</w:t>
      </w:r>
      <w:r w:rsidRPr="002C198A">
        <w:rPr>
          <w:rFonts w:ascii="Arial" w:eastAsia="Times New Roman" w:hAnsi="Arial" w:cs="Arial"/>
          <w:kern w:val="1"/>
          <w:lang w:eastAsia="ar-SA"/>
        </w:rPr>
        <w:t xml:space="preserve"> asciende a ¢59.001 millones; de esta cifra el 38% es decir ¢22.525 millones, equivale a las cuentas de efectivo, bancos e inversiones transitorias de alta liquidez. Las cu</w:t>
      </w:r>
      <w:r w:rsidR="00593A69">
        <w:rPr>
          <w:rFonts w:ascii="Arial" w:eastAsia="Times New Roman" w:hAnsi="Arial" w:cs="Arial"/>
          <w:kern w:val="1"/>
          <w:lang w:eastAsia="ar-SA"/>
        </w:rPr>
        <w:t>entas por cobrar servicio neto</w:t>
      </w:r>
      <w:r w:rsidRPr="002C198A">
        <w:rPr>
          <w:rFonts w:ascii="Arial" w:eastAsia="Times New Roman" w:hAnsi="Arial" w:cs="Arial"/>
          <w:kern w:val="1"/>
          <w:lang w:eastAsia="ar-SA"/>
        </w:rPr>
        <w:t xml:space="preserve"> suman ¢12.006 millones y representan el 20% del Activo Corriente, los inventarios ascienden a ¢9.952 millones (17%).</w:t>
      </w:r>
    </w:p>
    <w:p w14:paraId="7DF8CFF3" w14:textId="77777777" w:rsidR="00F73285" w:rsidRDefault="00F73285" w:rsidP="00F73285">
      <w:pPr>
        <w:suppressAutoHyphens/>
        <w:spacing w:before="0" w:beforeAutospacing="0" w:after="0" w:afterAutospacing="0" w:line="240" w:lineRule="auto"/>
        <w:rPr>
          <w:rFonts w:ascii="Arial" w:eastAsia="Times New Roman" w:hAnsi="Arial" w:cs="Arial"/>
          <w:kern w:val="1"/>
          <w:lang w:eastAsia="ar-SA"/>
        </w:rPr>
      </w:pPr>
    </w:p>
    <w:p w14:paraId="4D4E90BE" w14:textId="77777777" w:rsidR="00F73285" w:rsidRPr="002C198A" w:rsidRDefault="002C198A" w:rsidP="00594CE1">
      <w:pPr>
        <w:pStyle w:val="Prrafodelista"/>
        <w:numPr>
          <w:ilvl w:val="0"/>
          <w:numId w:val="38"/>
        </w:numPr>
        <w:tabs>
          <w:tab w:val="left" w:pos="4140"/>
        </w:tabs>
        <w:suppressAutoHyphens/>
        <w:spacing w:before="0" w:beforeAutospacing="0" w:after="0" w:afterAutospacing="0" w:line="240" w:lineRule="auto"/>
        <w:rPr>
          <w:rFonts w:ascii="Arial" w:eastAsia="Times New Roman" w:hAnsi="Arial" w:cs="Arial"/>
          <w:bCs/>
          <w:kern w:val="1"/>
          <w:lang w:eastAsia="ar-SA"/>
        </w:rPr>
      </w:pPr>
      <w:r w:rsidRPr="002C198A">
        <w:rPr>
          <w:rFonts w:ascii="Arial" w:eastAsia="Times New Roman" w:hAnsi="Arial" w:cs="Arial"/>
          <w:bCs/>
          <w:kern w:val="1"/>
          <w:lang w:eastAsia="ar-SA"/>
        </w:rPr>
        <w:t xml:space="preserve">El </w:t>
      </w:r>
      <w:r w:rsidRPr="002C198A">
        <w:rPr>
          <w:rFonts w:ascii="Arial" w:eastAsia="Times New Roman" w:hAnsi="Arial" w:cs="Arial"/>
          <w:b/>
          <w:bCs/>
          <w:kern w:val="1"/>
          <w:lang w:eastAsia="ar-SA"/>
        </w:rPr>
        <w:t>Pasivo Total</w:t>
      </w:r>
      <w:r w:rsidRPr="002C198A">
        <w:rPr>
          <w:rFonts w:ascii="Arial" w:eastAsia="Times New Roman" w:hAnsi="Arial" w:cs="Arial"/>
          <w:bCs/>
          <w:kern w:val="1"/>
          <w:lang w:eastAsia="ar-SA"/>
        </w:rPr>
        <w:t xml:space="preserve"> es por ¢84.187 millones y el mismo crece en ¢9.544 millones para el 2018. El </w:t>
      </w:r>
      <w:r w:rsidRPr="002C198A">
        <w:rPr>
          <w:rFonts w:ascii="Arial" w:eastAsia="Times New Roman" w:hAnsi="Arial" w:cs="Arial"/>
          <w:b/>
          <w:bCs/>
          <w:kern w:val="1"/>
          <w:lang w:eastAsia="ar-SA"/>
        </w:rPr>
        <w:t>Pasivo Corrient</w:t>
      </w:r>
      <w:r w:rsidRPr="002C198A">
        <w:rPr>
          <w:rFonts w:ascii="Arial" w:eastAsia="Times New Roman" w:hAnsi="Arial" w:cs="Arial"/>
          <w:bCs/>
          <w:kern w:val="1"/>
          <w:lang w:eastAsia="ar-SA"/>
        </w:rPr>
        <w:t>e presenta un crecimiento neto en ¢988 m</w:t>
      </w:r>
      <w:r>
        <w:rPr>
          <w:rFonts w:ascii="Arial" w:eastAsia="Times New Roman" w:hAnsi="Arial" w:cs="Arial"/>
          <w:bCs/>
          <w:kern w:val="1"/>
          <w:lang w:eastAsia="ar-SA"/>
        </w:rPr>
        <w:t>illones producto del incremento</w:t>
      </w:r>
      <w:r w:rsidRPr="002C198A">
        <w:rPr>
          <w:rFonts w:ascii="Arial" w:eastAsia="Times New Roman" w:hAnsi="Arial" w:cs="Arial"/>
          <w:bCs/>
          <w:kern w:val="1"/>
          <w:lang w:eastAsia="ar-SA"/>
        </w:rPr>
        <w:t xml:space="preserve"> entre partidas. El </w:t>
      </w:r>
      <w:r w:rsidRPr="002C198A">
        <w:rPr>
          <w:rFonts w:ascii="Arial" w:eastAsia="Times New Roman" w:hAnsi="Arial" w:cs="Arial"/>
          <w:b/>
          <w:bCs/>
          <w:kern w:val="1"/>
          <w:lang w:eastAsia="ar-SA"/>
        </w:rPr>
        <w:t>Pasivo no Corriente</w:t>
      </w:r>
      <w:r w:rsidRPr="002C198A">
        <w:rPr>
          <w:rFonts w:ascii="Arial" w:eastAsia="Times New Roman" w:hAnsi="Arial" w:cs="Arial"/>
          <w:bCs/>
          <w:kern w:val="1"/>
          <w:lang w:eastAsia="ar-SA"/>
        </w:rPr>
        <w:t xml:space="preserve"> sufre un </w:t>
      </w:r>
      <w:r>
        <w:rPr>
          <w:rFonts w:ascii="Arial" w:eastAsia="Times New Roman" w:hAnsi="Arial" w:cs="Arial"/>
          <w:bCs/>
          <w:kern w:val="1"/>
          <w:lang w:eastAsia="ar-SA"/>
        </w:rPr>
        <w:t>ascenso neto de ¢8.556 millones.</w:t>
      </w:r>
    </w:p>
    <w:p w14:paraId="5A139F6A" w14:textId="77777777" w:rsidR="00F73285" w:rsidRPr="003E72F7" w:rsidRDefault="00F73285" w:rsidP="00F73285">
      <w:pPr>
        <w:tabs>
          <w:tab w:val="left" w:pos="4140"/>
        </w:tabs>
        <w:suppressAutoHyphens/>
        <w:spacing w:before="0" w:beforeAutospacing="0" w:after="0" w:afterAutospacing="0" w:line="240" w:lineRule="auto"/>
        <w:rPr>
          <w:rFonts w:ascii="Times New Roman" w:eastAsia="Times New Roman" w:hAnsi="Times New Roman" w:cs="Times New Roman"/>
          <w:kern w:val="1"/>
          <w:sz w:val="24"/>
          <w:szCs w:val="24"/>
          <w:lang w:eastAsia="ar-SA"/>
        </w:rPr>
      </w:pPr>
    </w:p>
    <w:p w14:paraId="3DD78FE8" w14:textId="77777777" w:rsidR="001528C4" w:rsidRPr="001528C4" w:rsidRDefault="002C198A" w:rsidP="00594CE1">
      <w:pPr>
        <w:pStyle w:val="Prrafodelista"/>
        <w:numPr>
          <w:ilvl w:val="0"/>
          <w:numId w:val="38"/>
        </w:numPr>
        <w:tabs>
          <w:tab w:val="left" w:pos="4140"/>
        </w:tabs>
        <w:suppressAutoHyphens/>
        <w:spacing w:before="0" w:beforeAutospacing="0" w:after="0" w:afterAutospacing="0" w:line="240" w:lineRule="auto"/>
        <w:rPr>
          <w:rFonts w:ascii="Times New Roman" w:eastAsia="Times New Roman" w:hAnsi="Times New Roman" w:cs="Times New Roman"/>
          <w:kern w:val="1"/>
          <w:sz w:val="24"/>
          <w:szCs w:val="24"/>
          <w:lang w:eastAsia="ar-SA"/>
        </w:rPr>
      </w:pPr>
      <w:r w:rsidRPr="002C198A">
        <w:rPr>
          <w:rFonts w:ascii="Arial" w:eastAsia="Times New (W1)" w:hAnsi="Arial" w:cs="Arial"/>
          <w:kern w:val="1"/>
          <w:lang w:val="es" w:eastAsia="ar-SA"/>
        </w:rPr>
        <w:t xml:space="preserve">El </w:t>
      </w:r>
      <w:r w:rsidRPr="002C198A">
        <w:rPr>
          <w:rFonts w:ascii="Arial" w:eastAsia="Times New (W1)" w:hAnsi="Arial" w:cs="Arial"/>
          <w:b/>
          <w:kern w:val="1"/>
          <w:lang w:val="es" w:eastAsia="ar-SA"/>
        </w:rPr>
        <w:t>Patrimonio Neto</w:t>
      </w:r>
      <w:r w:rsidRPr="002C198A">
        <w:rPr>
          <w:rFonts w:ascii="Arial" w:eastAsia="Times New (W1)" w:hAnsi="Arial" w:cs="Arial"/>
          <w:kern w:val="1"/>
          <w:lang w:val="es" w:eastAsia="ar-SA"/>
        </w:rPr>
        <w:t xml:space="preserve"> registra un aumento de ¢55.882 millones que se produce básicamente al incremento en las partidas de: Superavit por Revaluación por ¢55.145 millones, es decir un 24%, esta partida cuyo saldo a diciembre 2018 es por ¢284.853 millones representa el 39% del total del Patrimonio Neto lo cual es producto de la revaluación del Activo de Propiedad, Planta y Equipo que a la vez es el activo más importante (93% del Activo Total). La cuenta de Aportes del Estado decrece ¢22.990 millones (27%) producto del cambio en la política contable del registro de las donaciones recibidas, las Cuentas Control Programas Inversión aumentan ¢464 millones (118%); la cuenta de Patrimonio por Resultados aumenta ¢23.263 millones (7%).</w:t>
      </w:r>
    </w:p>
    <w:p w14:paraId="11B88E6D" w14:textId="77777777" w:rsidR="001528C4" w:rsidRPr="001528C4" w:rsidRDefault="001528C4" w:rsidP="001528C4">
      <w:pPr>
        <w:pStyle w:val="Prrafodelista"/>
        <w:rPr>
          <w:rFonts w:ascii="Arial" w:hAnsi="Arial" w:cs="Arial"/>
        </w:rPr>
      </w:pPr>
    </w:p>
    <w:p w14:paraId="703CA896" w14:textId="77777777" w:rsidR="002C198A" w:rsidRPr="002C198A" w:rsidRDefault="002C198A" w:rsidP="00594CE1">
      <w:pPr>
        <w:pStyle w:val="Prrafodelista"/>
        <w:numPr>
          <w:ilvl w:val="0"/>
          <w:numId w:val="38"/>
        </w:numPr>
        <w:tabs>
          <w:tab w:val="left" w:pos="4140"/>
        </w:tabs>
        <w:suppressAutoHyphens/>
        <w:spacing w:before="0" w:beforeAutospacing="0" w:after="0" w:afterAutospacing="0" w:line="240" w:lineRule="auto"/>
        <w:rPr>
          <w:rFonts w:ascii="Arial" w:hAnsi="Arial" w:cs="Arial"/>
        </w:rPr>
      </w:pPr>
      <w:r w:rsidRPr="002C198A">
        <w:rPr>
          <w:rFonts w:ascii="Arial" w:hAnsi="Arial" w:cs="Arial"/>
        </w:rPr>
        <w:t xml:space="preserve">Al cierre de diciembre 2018 el Estado de Resultados muestra un ascenso en los ingresos por servicios de ¢13.931 millones (10%) en relación al periodo 2017, en el caso de acueducto y alcantarillado, las tarifas vigentes rigen a partir del 01 de julio 2016, mediante RIA-007-2016 del 29 de junio del 2016, que fue del 7.41% para Acueducto y para el Servicio de Alcantarillado un 17.64%.  </w:t>
      </w:r>
    </w:p>
    <w:p w14:paraId="621C7D26" w14:textId="77777777" w:rsidR="00D215AE" w:rsidRDefault="002C198A" w:rsidP="002C198A">
      <w:pPr>
        <w:pStyle w:val="Prrafodelista"/>
        <w:tabs>
          <w:tab w:val="left" w:pos="4140"/>
        </w:tabs>
        <w:suppressAutoHyphens/>
        <w:spacing w:before="0" w:beforeAutospacing="0" w:after="0" w:afterAutospacing="0" w:line="240" w:lineRule="auto"/>
        <w:ind w:left="927"/>
        <w:rPr>
          <w:rFonts w:ascii="Arial" w:hAnsi="Arial" w:cs="Arial"/>
        </w:rPr>
      </w:pPr>
      <w:r w:rsidRPr="002C198A">
        <w:rPr>
          <w:rFonts w:ascii="Arial" w:hAnsi="Arial" w:cs="Arial"/>
        </w:rPr>
        <w:t>Posteriormente con la resolución RIA-002-2016 del 03 de febrero del 2016, la ARESEP aprueba un aumento tarifario para el Servicio de Hidrantes, el aumento será escalonado a partir del 2016 y hasta el año 2020, iniciando en el año 2016 con un aumento de ¢1.5, ¢3.5 en el 2017, y ¢2 del 2018 al 2020, hasta alcanzar una tarifa de ¢26 por metro cúbico.</w:t>
      </w:r>
    </w:p>
    <w:p w14:paraId="79FA01FA" w14:textId="77777777" w:rsidR="002C198A" w:rsidRDefault="002C198A" w:rsidP="002C198A">
      <w:pPr>
        <w:pStyle w:val="Prrafodelista"/>
        <w:tabs>
          <w:tab w:val="left" w:pos="4140"/>
        </w:tabs>
        <w:suppressAutoHyphens/>
        <w:spacing w:before="0" w:beforeAutospacing="0" w:after="0" w:afterAutospacing="0" w:line="240" w:lineRule="auto"/>
        <w:ind w:left="927"/>
        <w:rPr>
          <w:rFonts w:ascii="Arial" w:hAnsi="Arial" w:cs="Arial"/>
        </w:rPr>
      </w:pPr>
    </w:p>
    <w:p w14:paraId="072AD899" w14:textId="77777777" w:rsidR="002C198A" w:rsidRDefault="002C198A" w:rsidP="002C198A">
      <w:pPr>
        <w:pStyle w:val="Prrafodelista"/>
        <w:tabs>
          <w:tab w:val="left" w:pos="4140"/>
        </w:tabs>
        <w:suppressAutoHyphens/>
        <w:spacing w:before="0" w:beforeAutospacing="0" w:after="0" w:afterAutospacing="0" w:line="240" w:lineRule="auto"/>
        <w:ind w:left="927"/>
        <w:rPr>
          <w:rFonts w:ascii="Arial" w:hAnsi="Arial" w:cs="Arial"/>
        </w:rPr>
      </w:pPr>
    </w:p>
    <w:p w14:paraId="11C413F7" w14:textId="77777777" w:rsidR="002C198A" w:rsidRPr="001528C4" w:rsidRDefault="002C198A" w:rsidP="002C198A">
      <w:pPr>
        <w:pStyle w:val="Prrafodelista"/>
        <w:tabs>
          <w:tab w:val="left" w:pos="4140"/>
        </w:tabs>
        <w:suppressAutoHyphens/>
        <w:spacing w:before="0" w:beforeAutospacing="0" w:after="0" w:afterAutospacing="0" w:line="240" w:lineRule="auto"/>
        <w:ind w:left="927"/>
        <w:rPr>
          <w:rFonts w:ascii="Times New Roman" w:eastAsia="Times New Roman" w:hAnsi="Times New Roman" w:cs="Times New Roman"/>
          <w:kern w:val="1"/>
          <w:sz w:val="24"/>
          <w:szCs w:val="24"/>
          <w:lang w:eastAsia="ar-SA"/>
        </w:rPr>
      </w:pPr>
    </w:p>
    <w:p w14:paraId="2A3EAEEB" w14:textId="77777777" w:rsidR="001321AE" w:rsidRPr="001F3044" w:rsidRDefault="001F3044" w:rsidP="001F3044">
      <w:pPr>
        <w:widowControl w:val="0"/>
        <w:suppressAutoHyphens/>
        <w:autoSpaceDN w:val="0"/>
        <w:spacing w:before="0" w:beforeAutospacing="0" w:after="200" w:afterAutospacing="0" w:line="276" w:lineRule="auto"/>
        <w:jc w:val="right"/>
        <w:textAlignment w:val="baseline"/>
        <w:rPr>
          <w:rFonts w:ascii="Arial" w:eastAsia="Times New Roman" w:hAnsi="Arial" w:cs="Arial"/>
          <w:kern w:val="3"/>
          <w:lang w:val="es-ES" w:eastAsia="zh-CN"/>
        </w:rPr>
      </w:pPr>
      <w:r w:rsidRPr="001F3044">
        <w:rPr>
          <w:rFonts w:ascii="Arial" w:eastAsia="Times New Roman" w:hAnsi="Arial" w:cs="Arial"/>
          <w:kern w:val="3"/>
          <w:lang w:val="es-ES" w:eastAsia="zh-CN"/>
        </w:rPr>
        <w:t>45</w:t>
      </w:r>
    </w:p>
    <w:p w14:paraId="41C92C16" w14:textId="77777777" w:rsidR="004701AA" w:rsidRPr="004701AA" w:rsidRDefault="004701AA" w:rsidP="00594CE1">
      <w:pPr>
        <w:pStyle w:val="NormalWeb"/>
        <w:widowControl w:val="0"/>
        <w:numPr>
          <w:ilvl w:val="0"/>
          <w:numId w:val="38"/>
        </w:numPr>
        <w:overflowPunct/>
        <w:autoSpaceDE/>
        <w:spacing w:before="0"/>
        <w:rPr>
          <w:rFonts w:ascii="Arial" w:eastAsiaTheme="minorHAnsi" w:hAnsi="Arial" w:cs="Arial"/>
          <w:kern w:val="0"/>
          <w:sz w:val="22"/>
          <w:szCs w:val="22"/>
          <w:lang w:val="es-CR" w:eastAsia="ar-SA"/>
        </w:rPr>
      </w:pPr>
      <w:r w:rsidRPr="004701AA">
        <w:rPr>
          <w:rFonts w:ascii="Arial" w:hAnsi="Arial" w:cs="Arial"/>
          <w:sz w:val="22"/>
          <w:szCs w:val="22"/>
        </w:rPr>
        <w:lastRenderedPageBreak/>
        <w:t xml:space="preserve">La cuenta de </w:t>
      </w:r>
      <w:r w:rsidRPr="004701AA">
        <w:rPr>
          <w:rFonts w:ascii="Arial" w:hAnsi="Arial" w:cs="Arial"/>
          <w:b/>
          <w:sz w:val="22"/>
          <w:szCs w:val="22"/>
        </w:rPr>
        <w:t>Servicios Personales</w:t>
      </w:r>
      <w:r w:rsidRPr="004701AA">
        <w:rPr>
          <w:rFonts w:ascii="Arial" w:hAnsi="Arial" w:cs="Arial"/>
          <w:sz w:val="22"/>
          <w:szCs w:val="22"/>
        </w:rPr>
        <w:t xml:space="preserve"> presenta un incremento de ¢1.677 millones (3%), ya que pasa de ¢54.639 millones en el 2017 a ¢56.316 millones en el 2018 debido al aumento de salarios por costo de vida y al crecimiento de plazas tanto en propiedad como de servicios especiales.</w:t>
      </w:r>
    </w:p>
    <w:p w14:paraId="5DAD231A" w14:textId="77777777" w:rsidR="004701AA" w:rsidRPr="004701AA" w:rsidRDefault="004701AA" w:rsidP="004701AA">
      <w:pPr>
        <w:pStyle w:val="NormalWeb"/>
        <w:widowControl w:val="0"/>
        <w:overflowPunct/>
        <w:autoSpaceDE/>
        <w:spacing w:before="0"/>
        <w:ind w:left="927"/>
        <w:rPr>
          <w:rFonts w:ascii="Arial" w:eastAsiaTheme="minorHAnsi" w:hAnsi="Arial" w:cs="Arial"/>
          <w:kern w:val="0"/>
          <w:sz w:val="22"/>
          <w:szCs w:val="22"/>
          <w:lang w:val="es-CR" w:eastAsia="ar-SA"/>
        </w:rPr>
      </w:pPr>
    </w:p>
    <w:p w14:paraId="562897DA" w14:textId="77777777" w:rsidR="001528C4" w:rsidRPr="004701AA" w:rsidRDefault="004701AA" w:rsidP="00594CE1">
      <w:pPr>
        <w:pStyle w:val="NormalWeb"/>
        <w:numPr>
          <w:ilvl w:val="0"/>
          <w:numId w:val="38"/>
        </w:numPr>
        <w:spacing w:line="102" w:lineRule="atLeast"/>
        <w:rPr>
          <w:rFonts w:ascii="Arial" w:hAnsi="Arial" w:cs="Arial"/>
          <w:sz w:val="22"/>
          <w:szCs w:val="24"/>
          <w:lang w:val="es-CR"/>
        </w:rPr>
      </w:pPr>
      <w:r w:rsidRPr="004701AA">
        <w:rPr>
          <w:rFonts w:ascii="Arial" w:eastAsiaTheme="minorHAnsi" w:hAnsi="Arial" w:cs="Arial"/>
          <w:kern w:val="0"/>
          <w:sz w:val="22"/>
          <w:szCs w:val="22"/>
          <w:lang w:val="es-CR" w:eastAsia="ar-SA"/>
        </w:rPr>
        <w:t xml:space="preserve">El grupo de cuentas de </w:t>
      </w:r>
      <w:r w:rsidRPr="004701AA">
        <w:rPr>
          <w:rFonts w:ascii="Arial" w:eastAsiaTheme="minorHAnsi" w:hAnsi="Arial" w:cs="Arial"/>
          <w:b/>
          <w:kern w:val="0"/>
          <w:sz w:val="22"/>
          <w:szCs w:val="22"/>
          <w:lang w:val="es-CR" w:eastAsia="ar-SA"/>
        </w:rPr>
        <w:t>Servicios no Personales</w:t>
      </w:r>
      <w:r w:rsidRPr="004701AA">
        <w:rPr>
          <w:rFonts w:ascii="Arial" w:eastAsiaTheme="minorHAnsi" w:hAnsi="Arial" w:cs="Arial"/>
          <w:kern w:val="0"/>
          <w:sz w:val="22"/>
          <w:szCs w:val="22"/>
          <w:lang w:val="es-CR" w:eastAsia="ar-SA"/>
        </w:rPr>
        <w:t xml:space="preserve"> aumenta en ¢1.947 millones, es decir un 4%, los movimientos entre dichas cuentas son: Gastos de viaje y transporte decrece ¢43 millones (2%), Alquileres aumenta ¢94 millones (2%), Servicios Públicos sufre un alza de ¢898 millones (7%); Reparación y mantenimiento presenta un descenso por ¢218 millones (3%); Cánones decrece ¢68 millones (2%), las Consultorías crecen ¢1.548 millones (85%), dentro de este rubro están las siguientes consultorías que representan las de mayor valor, pagadas en el 2018: a) Diseño del edificio de la GAM ¢1.001 millones, b) Análisis de la plataforma tecnológica de AyA ¢141.35 millones. c) Estudio de inspección electromecánica ¢180.04 millones; d) Diagnóstico de ASADAS para fortalecer sus capacidades y lograr que brinden un mejor servicio ¢263.26 millones, e) Mantenimiento y Desarrollo de Sistemas (incluye el de facturación electrónica) ¢344.87 millones. La cuenta de Publicidad disminuye ¢296 millones (24%), Seguros decrece ¢43 millones (11%), Otros servicios públicos baja ¢18 millones (17%), los Servicios Contratados se reducen en ¢169 millones (2%); finalmente los Otros Servicios no personales registran un incremento por ¢264 millones (33%)</w:t>
      </w:r>
      <w:r w:rsidR="000E3508">
        <w:rPr>
          <w:rFonts w:ascii="Arial" w:hAnsi="Arial" w:cs="Arial"/>
          <w:sz w:val="22"/>
          <w:szCs w:val="24"/>
          <w:lang w:val="es-CR"/>
        </w:rPr>
        <w:t xml:space="preserve">El grupo de cuentas de </w:t>
      </w:r>
      <w:r w:rsidR="000E3508">
        <w:rPr>
          <w:rFonts w:ascii="Arial" w:hAnsi="Arial" w:cs="Arial"/>
          <w:b/>
          <w:bCs/>
          <w:sz w:val="22"/>
          <w:szCs w:val="24"/>
          <w:lang w:val="es-CR"/>
        </w:rPr>
        <w:t>Materiales y Suministros</w:t>
      </w:r>
      <w:r w:rsidR="00AE0D1A">
        <w:rPr>
          <w:rFonts w:ascii="Arial" w:hAnsi="Arial" w:cs="Arial"/>
          <w:sz w:val="22"/>
          <w:szCs w:val="24"/>
          <w:lang w:val="es-CR"/>
        </w:rPr>
        <w:t xml:space="preserve"> decrece ¢277</w:t>
      </w:r>
      <w:r w:rsidR="000E3508">
        <w:rPr>
          <w:rFonts w:ascii="Arial" w:hAnsi="Arial" w:cs="Arial"/>
          <w:sz w:val="22"/>
          <w:szCs w:val="24"/>
          <w:lang w:val="es-CR"/>
        </w:rPr>
        <w:t xml:space="preserve"> m</w:t>
      </w:r>
      <w:r w:rsidR="00AE0D1A">
        <w:rPr>
          <w:rFonts w:ascii="Arial" w:hAnsi="Arial" w:cs="Arial"/>
          <w:sz w:val="22"/>
          <w:szCs w:val="24"/>
          <w:lang w:val="es-CR"/>
        </w:rPr>
        <w:t>illones (4%) pues pasa de ¢6.481 millones en el 2017 a ¢6.204</w:t>
      </w:r>
      <w:r w:rsidR="000E3508">
        <w:rPr>
          <w:rFonts w:ascii="Arial" w:hAnsi="Arial" w:cs="Arial"/>
          <w:sz w:val="22"/>
          <w:szCs w:val="24"/>
          <w:lang w:val="es-CR"/>
        </w:rPr>
        <w:t xml:space="preserve"> millones en el 2018, los movimien</w:t>
      </w:r>
      <w:r w:rsidR="00AE0D1A">
        <w:rPr>
          <w:rFonts w:ascii="Arial" w:hAnsi="Arial" w:cs="Arial"/>
          <w:sz w:val="22"/>
          <w:szCs w:val="24"/>
          <w:lang w:val="es-CR"/>
        </w:rPr>
        <w:t>tos son: Combustible aumenta ¢108 millones (13%), Productos Químicos baja ¢71 millones (7</w:t>
      </w:r>
      <w:r w:rsidR="000E3508">
        <w:rPr>
          <w:rFonts w:ascii="Arial" w:hAnsi="Arial" w:cs="Arial"/>
          <w:sz w:val="22"/>
          <w:szCs w:val="24"/>
          <w:lang w:val="es-CR"/>
        </w:rPr>
        <w:t>%); Mat</w:t>
      </w:r>
      <w:r w:rsidR="00AE0D1A">
        <w:rPr>
          <w:rFonts w:ascii="Arial" w:hAnsi="Arial" w:cs="Arial"/>
          <w:sz w:val="22"/>
          <w:szCs w:val="24"/>
          <w:lang w:val="es-CR"/>
        </w:rPr>
        <w:t>eriales y Suministros crece ¢230 millones (6</w:t>
      </w:r>
      <w:r w:rsidR="000E3508">
        <w:rPr>
          <w:rFonts w:ascii="Arial" w:hAnsi="Arial" w:cs="Arial"/>
          <w:sz w:val="22"/>
          <w:szCs w:val="24"/>
          <w:lang w:val="es-CR"/>
        </w:rPr>
        <w:t>%). Además</w:t>
      </w:r>
      <w:r w:rsidR="00AE0D1A">
        <w:rPr>
          <w:rFonts w:ascii="Arial" w:hAnsi="Arial" w:cs="Arial"/>
          <w:sz w:val="22"/>
          <w:szCs w:val="24"/>
          <w:lang w:val="es-CR"/>
        </w:rPr>
        <w:t>, influye la disminución de ¢543 millones (57</w:t>
      </w:r>
      <w:r w:rsidR="000E3508">
        <w:rPr>
          <w:rFonts w:ascii="Arial" w:hAnsi="Arial" w:cs="Arial"/>
          <w:sz w:val="22"/>
          <w:szCs w:val="24"/>
          <w:lang w:val="es-CR"/>
        </w:rPr>
        <w:t>%) en la partida de Hidrómetros y Cajas.</w:t>
      </w:r>
    </w:p>
    <w:p w14:paraId="6E566640" w14:textId="77777777" w:rsidR="000E3508" w:rsidRPr="001528C4" w:rsidRDefault="004701AA" w:rsidP="00594CE1">
      <w:pPr>
        <w:pStyle w:val="NormalWeb"/>
        <w:numPr>
          <w:ilvl w:val="0"/>
          <w:numId w:val="38"/>
        </w:numPr>
        <w:spacing w:line="102" w:lineRule="atLeast"/>
        <w:rPr>
          <w:rFonts w:ascii="Arial" w:hAnsi="Arial" w:cs="Arial"/>
          <w:sz w:val="22"/>
          <w:szCs w:val="24"/>
          <w:lang w:val="es-CR"/>
        </w:rPr>
      </w:pPr>
      <w:r w:rsidRPr="004701AA">
        <w:rPr>
          <w:rFonts w:ascii="Arial" w:hAnsi="Arial" w:cs="Arial"/>
          <w:sz w:val="22"/>
          <w:szCs w:val="24"/>
          <w:lang w:val="es-CR"/>
        </w:rPr>
        <w:t xml:space="preserve">El grupo de cuentas de </w:t>
      </w:r>
      <w:r w:rsidRPr="004701AA">
        <w:rPr>
          <w:rFonts w:ascii="Arial" w:hAnsi="Arial" w:cs="Arial"/>
          <w:b/>
          <w:sz w:val="22"/>
          <w:szCs w:val="24"/>
          <w:lang w:val="es-CR"/>
        </w:rPr>
        <w:t xml:space="preserve">Materiales y Suministros </w:t>
      </w:r>
      <w:r w:rsidRPr="004701AA">
        <w:rPr>
          <w:rFonts w:ascii="Arial" w:hAnsi="Arial" w:cs="Arial"/>
          <w:sz w:val="22"/>
          <w:szCs w:val="24"/>
          <w:lang w:val="es-CR"/>
        </w:rPr>
        <w:t>decrece ¢283 millones (3%) pues pasa de ¢9.006 millones en el 2017 a ¢8.723 millones en el 2018 como consecuencia del movimiento entre cuentas: Combustible aumenta ¢153 millones (14%), Productos Químicos baja ¢16 millones (1%); Materiales y Suministros aumenta ¢269 millones (5%) y la partida de Hidrómetros y Cajas que se reduce en ¢690 millones (59%).</w:t>
      </w:r>
    </w:p>
    <w:p w14:paraId="039DA036" w14:textId="77777777" w:rsidR="00EA5DA2" w:rsidRPr="00EA5DA2" w:rsidRDefault="00EA5DA2" w:rsidP="00594CE1">
      <w:pPr>
        <w:pStyle w:val="NormalWeb"/>
        <w:numPr>
          <w:ilvl w:val="0"/>
          <w:numId w:val="38"/>
        </w:numPr>
        <w:spacing w:line="102" w:lineRule="atLeast"/>
        <w:rPr>
          <w:sz w:val="26"/>
          <w:szCs w:val="24"/>
          <w:lang w:val="es-CR"/>
        </w:rPr>
      </w:pPr>
      <w:r w:rsidRPr="00EA5DA2">
        <w:rPr>
          <w:rFonts w:ascii="Arial" w:hAnsi="Arial" w:cs="Arial"/>
          <w:sz w:val="22"/>
          <w:szCs w:val="24"/>
          <w:lang w:val="es-CR"/>
        </w:rPr>
        <w:t xml:space="preserve">La </w:t>
      </w:r>
      <w:r w:rsidRPr="00EA5DA2">
        <w:rPr>
          <w:rFonts w:ascii="Arial" w:hAnsi="Arial" w:cs="Arial"/>
          <w:b/>
          <w:sz w:val="22"/>
          <w:szCs w:val="24"/>
          <w:lang w:val="es-CR"/>
        </w:rPr>
        <w:t>Depreciación Total</w:t>
      </w:r>
      <w:r w:rsidRPr="00EA5DA2">
        <w:rPr>
          <w:rFonts w:ascii="Arial" w:hAnsi="Arial" w:cs="Arial"/>
          <w:sz w:val="22"/>
          <w:szCs w:val="24"/>
          <w:lang w:val="es-CR"/>
        </w:rPr>
        <w:t xml:space="preserve"> fue de ¢42.450 millones a diciembre 2017 entre tanto en el 2018 ascendió a ¢46.291 millones. Este grupo de cuentas muestra un incremento neto de ¢3.840 millones, situación que se genera por el crecimiento de ¢1.904 millones (7%) en la depreciación histórica y ¢1.936 millones (13%) de aumento en la depreciación acumulada revaluada</w:t>
      </w:r>
      <w:r w:rsidR="000E3508">
        <w:rPr>
          <w:rFonts w:ascii="Arial" w:hAnsi="Arial" w:cs="Arial"/>
          <w:sz w:val="22"/>
          <w:szCs w:val="24"/>
          <w:lang w:val="es-CR"/>
        </w:rPr>
        <w:t>.</w:t>
      </w:r>
    </w:p>
    <w:p w14:paraId="5117EDF1" w14:textId="77777777" w:rsidR="00EA5DA2" w:rsidRDefault="00EA5DA2" w:rsidP="00EA5DA2">
      <w:pPr>
        <w:pStyle w:val="NormalWeb"/>
        <w:spacing w:line="102" w:lineRule="atLeast"/>
        <w:rPr>
          <w:sz w:val="26"/>
          <w:szCs w:val="24"/>
          <w:lang w:val="es-CR"/>
        </w:rPr>
      </w:pPr>
    </w:p>
    <w:p w14:paraId="1E10047B" w14:textId="77777777" w:rsidR="001F3044" w:rsidRPr="001F3044" w:rsidRDefault="001F3044" w:rsidP="001F3044">
      <w:pPr>
        <w:pStyle w:val="NormalWeb"/>
        <w:spacing w:line="102" w:lineRule="atLeast"/>
        <w:jc w:val="right"/>
        <w:rPr>
          <w:rFonts w:ascii="Arial" w:hAnsi="Arial" w:cs="Arial"/>
          <w:sz w:val="22"/>
          <w:szCs w:val="22"/>
          <w:lang w:val="es-CR"/>
        </w:rPr>
      </w:pPr>
      <w:r w:rsidRPr="001F3044">
        <w:rPr>
          <w:rFonts w:ascii="Arial" w:hAnsi="Arial" w:cs="Arial"/>
          <w:sz w:val="22"/>
          <w:szCs w:val="22"/>
          <w:lang w:val="es-CR"/>
        </w:rPr>
        <w:t>46</w:t>
      </w:r>
    </w:p>
    <w:p w14:paraId="67889290" w14:textId="77777777" w:rsidR="00593A69" w:rsidRPr="00593A69" w:rsidRDefault="00EA5DA2" w:rsidP="00E77796">
      <w:pPr>
        <w:pStyle w:val="NormalWeb"/>
        <w:numPr>
          <w:ilvl w:val="0"/>
          <w:numId w:val="38"/>
        </w:numPr>
        <w:spacing w:line="102" w:lineRule="atLeast"/>
        <w:rPr>
          <w:rFonts w:ascii="Arial" w:eastAsiaTheme="minorHAnsi" w:hAnsi="Arial" w:cs="Arial"/>
          <w:kern w:val="0"/>
          <w:sz w:val="22"/>
          <w:szCs w:val="24"/>
          <w:lang w:val="es-CR" w:eastAsia="en-US"/>
        </w:rPr>
      </w:pPr>
      <w:r w:rsidRPr="00593A69">
        <w:rPr>
          <w:rFonts w:ascii="Arial" w:eastAsiaTheme="minorHAnsi" w:hAnsi="Arial" w:cs="Arial"/>
          <w:kern w:val="0"/>
          <w:sz w:val="22"/>
          <w:szCs w:val="24"/>
          <w:lang w:val="es-CR" w:eastAsia="en-US"/>
        </w:rPr>
        <w:lastRenderedPageBreak/>
        <w:t xml:space="preserve">La </w:t>
      </w:r>
      <w:r w:rsidRPr="00593A69">
        <w:rPr>
          <w:rFonts w:ascii="Arial" w:eastAsiaTheme="minorHAnsi" w:hAnsi="Arial" w:cs="Arial"/>
          <w:b/>
          <w:kern w:val="0"/>
          <w:sz w:val="22"/>
          <w:szCs w:val="24"/>
          <w:lang w:val="es-CR" w:eastAsia="en-US"/>
        </w:rPr>
        <w:t>Pérdida de Operación</w:t>
      </w:r>
      <w:r w:rsidRPr="00593A69">
        <w:rPr>
          <w:rFonts w:ascii="Arial" w:eastAsiaTheme="minorHAnsi" w:hAnsi="Arial" w:cs="Arial"/>
          <w:kern w:val="0"/>
          <w:sz w:val="22"/>
          <w:szCs w:val="24"/>
          <w:lang w:val="es-CR" w:eastAsia="en-US"/>
        </w:rPr>
        <w:t xml:space="preserve"> para diciembre 2017 fue de ¢16.942 millones mientras que para diciembre 2018 la pérdida es por ¢8.495 millones, lo que significa una reducción en la pérdida de ¢8.447 millones, es decir un 50%.</w:t>
      </w:r>
    </w:p>
    <w:p w14:paraId="7D6B7AC5" w14:textId="77777777" w:rsidR="00EA5DA2" w:rsidRPr="00EA5DA2" w:rsidRDefault="00EA5DA2" w:rsidP="00594CE1">
      <w:pPr>
        <w:pStyle w:val="Prrafodelista"/>
        <w:numPr>
          <w:ilvl w:val="0"/>
          <w:numId w:val="38"/>
        </w:numPr>
        <w:spacing w:line="102" w:lineRule="atLeast"/>
        <w:rPr>
          <w:rFonts w:ascii="Arial" w:hAnsi="Arial" w:cs="Arial"/>
          <w:b/>
          <w:bCs/>
        </w:rPr>
      </w:pPr>
      <w:r w:rsidRPr="00EA5DA2">
        <w:rPr>
          <w:rFonts w:ascii="Arial" w:hAnsi="Arial" w:cs="Arial"/>
          <w:szCs w:val="24"/>
        </w:rPr>
        <w:t xml:space="preserve">La Sección </w:t>
      </w:r>
      <w:r w:rsidRPr="00EA5DA2">
        <w:rPr>
          <w:rFonts w:ascii="Arial" w:hAnsi="Arial" w:cs="Arial"/>
          <w:b/>
          <w:szCs w:val="24"/>
        </w:rPr>
        <w:t xml:space="preserve">Transferencias no Reembolsables </w:t>
      </w:r>
      <w:r w:rsidRPr="00EA5DA2">
        <w:rPr>
          <w:rFonts w:ascii="Arial" w:hAnsi="Arial" w:cs="Arial"/>
          <w:szCs w:val="24"/>
        </w:rPr>
        <w:t>a programas de inversión, está sustentada en lo que señalan los párrafos 4.52 y 4.53 del Marco Conceptual de las NIIF. Esta contribución institucional como parte de la Responsabilidad Social Empresarial a diciembre 2018 asciende a ¢4.227 millones, o sea ¢1.541 millones más que el costo del 2017 que fue de ¢2.686 millones. El incremento se da en la contrapartida del programa KFW, necesario para finiquitar los proyectos de este programa dado que los desembolsos del Banco finalizaron en febrero 2018.</w:t>
      </w:r>
    </w:p>
    <w:p w14:paraId="1F51DD51" w14:textId="77777777" w:rsidR="00EA5DA2" w:rsidRPr="00EA5DA2" w:rsidRDefault="00EA5DA2" w:rsidP="00EA5DA2">
      <w:pPr>
        <w:pStyle w:val="Prrafodelista"/>
        <w:spacing w:line="102" w:lineRule="atLeast"/>
        <w:ind w:left="927"/>
        <w:rPr>
          <w:rFonts w:ascii="Arial" w:hAnsi="Arial" w:cs="Arial"/>
          <w:b/>
          <w:bCs/>
        </w:rPr>
      </w:pPr>
    </w:p>
    <w:p w14:paraId="22A428BF" w14:textId="77777777" w:rsidR="00EA5DA2" w:rsidRPr="00EA5DA2" w:rsidRDefault="00EA5DA2" w:rsidP="00594CE1">
      <w:pPr>
        <w:pStyle w:val="Prrafodelista"/>
        <w:numPr>
          <w:ilvl w:val="0"/>
          <w:numId w:val="38"/>
        </w:numPr>
        <w:spacing w:line="102" w:lineRule="atLeast"/>
        <w:rPr>
          <w:rFonts w:ascii="Arial" w:hAnsi="Arial" w:cs="Arial"/>
          <w:b/>
          <w:bCs/>
        </w:rPr>
      </w:pPr>
      <w:r w:rsidRPr="00EA5DA2">
        <w:rPr>
          <w:rFonts w:ascii="Arial" w:hAnsi="Arial" w:cs="Arial"/>
        </w:rPr>
        <w:t xml:space="preserve">El grupo de cuentas de </w:t>
      </w:r>
      <w:r w:rsidRPr="00EA5DA2">
        <w:rPr>
          <w:rFonts w:ascii="Arial" w:hAnsi="Arial" w:cs="Arial"/>
          <w:b/>
        </w:rPr>
        <w:t>Ingresos financieros</w:t>
      </w:r>
      <w:r w:rsidRPr="00EA5DA2">
        <w:rPr>
          <w:rFonts w:ascii="Arial" w:hAnsi="Arial" w:cs="Arial"/>
        </w:rPr>
        <w:t xml:space="preserve"> registra un crecimiento neto de ¢1.649 millones con respecto al período 2017, el mayor impacto se muestra en la partida de Diferencial Cambiario que crece en ¢1.174 millones, asociado al aumento en el tipo de cambio del dólar y otras monedas extranjeras. </w:t>
      </w:r>
    </w:p>
    <w:p w14:paraId="0EBBE355" w14:textId="77777777" w:rsidR="00EA5DA2" w:rsidRPr="00EA5DA2" w:rsidRDefault="00EA5DA2" w:rsidP="00EA5DA2">
      <w:pPr>
        <w:pStyle w:val="Prrafodelista"/>
        <w:rPr>
          <w:rFonts w:ascii="Arial" w:hAnsi="Arial" w:cs="Arial"/>
        </w:rPr>
      </w:pPr>
    </w:p>
    <w:p w14:paraId="590CF358" w14:textId="77777777" w:rsidR="006C76E6" w:rsidRPr="00EA5DA2" w:rsidRDefault="00EA5DA2" w:rsidP="00594CE1">
      <w:pPr>
        <w:pStyle w:val="Prrafodelista"/>
        <w:numPr>
          <w:ilvl w:val="0"/>
          <w:numId w:val="38"/>
        </w:numPr>
        <w:spacing w:line="102" w:lineRule="atLeast"/>
        <w:rPr>
          <w:rFonts w:ascii="Arial" w:hAnsi="Arial" w:cs="Arial"/>
          <w:b/>
          <w:bCs/>
        </w:rPr>
      </w:pPr>
      <w:r w:rsidRPr="00EA5DA2">
        <w:rPr>
          <w:rFonts w:ascii="Arial" w:hAnsi="Arial" w:cs="Arial"/>
        </w:rPr>
        <w:t xml:space="preserve">El conjunto de cuentas de </w:t>
      </w:r>
      <w:r w:rsidRPr="00EA5DA2">
        <w:rPr>
          <w:rFonts w:ascii="Arial" w:hAnsi="Arial" w:cs="Arial"/>
          <w:b/>
        </w:rPr>
        <w:t>Gastos Financieros</w:t>
      </w:r>
      <w:r w:rsidRPr="00EA5DA2">
        <w:rPr>
          <w:rFonts w:ascii="Arial" w:hAnsi="Arial" w:cs="Arial"/>
        </w:rPr>
        <w:t xml:space="preserve"> presenta un crecimiento neto de ¢3.366 millones, ya que pasa de ¢4.010 millones en diciembre del 2017 a 7.376 millones en diciembre 2018, donde la cuenta Gastos por Diferencial Cambiario presenta un aumento de ¢3.025 millones por la relación del colón con respecto al dólar estadounidense y otras monedas extranjeras.</w:t>
      </w:r>
    </w:p>
    <w:p w14:paraId="60E04B09" w14:textId="77777777" w:rsidR="00EA5DA2" w:rsidRPr="00EA5DA2" w:rsidRDefault="00EA5DA2" w:rsidP="00EA5DA2">
      <w:pPr>
        <w:pStyle w:val="Prrafodelista"/>
        <w:spacing w:line="102" w:lineRule="atLeast"/>
        <w:rPr>
          <w:rFonts w:ascii="Arial" w:hAnsi="Arial" w:cs="Arial"/>
        </w:rPr>
      </w:pPr>
    </w:p>
    <w:p w14:paraId="17AB90D5" w14:textId="77777777" w:rsidR="00DF0203" w:rsidRDefault="0061660E" w:rsidP="00DF0203">
      <w:pPr>
        <w:pStyle w:val="Prrafodelista"/>
        <w:numPr>
          <w:ilvl w:val="0"/>
          <w:numId w:val="38"/>
        </w:numPr>
        <w:spacing w:before="0" w:beforeAutospacing="0" w:after="0" w:afterAutospacing="0" w:line="240" w:lineRule="auto"/>
        <w:ind w:left="924"/>
      </w:pPr>
      <w:r w:rsidRPr="0061660E">
        <w:rPr>
          <w:rFonts w:ascii="Arial" w:hAnsi="Arial" w:cs="Arial"/>
        </w:rPr>
        <w:t xml:space="preserve">Al final del período 2018 se presenta una </w:t>
      </w:r>
      <w:r w:rsidRPr="0061660E">
        <w:rPr>
          <w:rFonts w:ascii="Arial" w:hAnsi="Arial" w:cs="Arial"/>
          <w:b/>
        </w:rPr>
        <w:t xml:space="preserve">Pérdida Neta </w:t>
      </w:r>
      <w:r w:rsidRPr="0061660E">
        <w:rPr>
          <w:rFonts w:ascii="Arial" w:hAnsi="Arial" w:cs="Arial"/>
        </w:rPr>
        <w:t>por ¢15.017 millones que se reduce en ¢5.188 millones, o sea un 26% con respecto al año 2017.</w:t>
      </w:r>
    </w:p>
    <w:p w14:paraId="2BDFF8D2" w14:textId="77777777" w:rsidR="00DF0203" w:rsidRPr="006C76E6" w:rsidRDefault="00DF0203" w:rsidP="00DF0203">
      <w:pPr>
        <w:pStyle w:val="Prrafodelista"/>
        <w:spacing w:before="0" w:beforeAutospacing="0" w:after="0" w:afterAutospacing="0" w:line="240" w:lineRule="auto"/>
        <w:ind w:left="924"/>
      </w:pPr>
    </w:p>
    <w:p w14:paraId="4A596808" w14:textId="77777777" w:rsidR="00DF0203" w:rsidRPr="00DF0203" w:rsidRDefault="00DF0203" w:rsidP="00DF0203">
      <w:pPr>
        <w:pStyle w:val="Standard"/>
        <w:widowControl w:val="0"/>
        <w:numPr>
          <w:ilvl w:val="0"/>
          <w:numId w:val="38"/>
        </w:numPr>
        <w:shd w:val="clear" w:color="auto" w:fill="FFFFFF"/>
        <w:tabs>
          <w:tab w:val="left" w:pos="-2923"/>
          <w:tab w:val="left" w:pos="-2698"/>
        </w:tabs>
        <w:ind w:left="924"/>
        <w:jc w:val="both"/>
        <w:rPr>
          <w:rFonts w:ascii="Arial" w:hAnsi="Arial" w:cs="Arial"/>
          <w:sz w:val="22"/>
          <w:szCs w:val="22"/>
        </w:rPr>
      </w:pPr>
      <w:r w:rsidRPr="00DF0203">
        <w:rPr>
          <w:rFonts w:ascii="Arial" w:hAnsi="Arial" w:cs="Arial"/>
          <w:sz w:val="22"/>
          <w:szCs w:val="22"/>
        </w:rPr>
        <w:t xml:space="preserve">La razón de liquidez presenta un decrecimiento de un </w:t>
      </w:r>
      <w:r w:rsidR="0062408D">
        <w:rPr>
          <w:rFonts w:ascii="Arial" w:hAnsi="Arial" w:cs="Arial"/>
          <w:sz w:val="22"/>
          <w:szCs w:val="22"/>
        </w:rPr>
        <w:t>9</w:t>
      </w:r>
      <w:r w:rsidRPr="00DF0203">
        <w:rPr>
          <w:rFonts w:ascii="Arial" w:hAnsi="Arial" w:cs="Arial"/>
          <w:sz w:val="22"/>
          <w:szCs w:val="22"/>
        </w:rPr>
        <w:t xml:space="preserve">%, (0.33 puntos), debido a una baja en el Activo Corriente de ¢1,977 millones, específicamente en las Inversiones en títulos valores producto de un mayor requerimiento de efectivo para cubrir las obligaciones normales de la Institución. </w:t>
      </w:r>
    </w:p>
    <w:p w14:paraId="62F8C948" w14:textId="77777777" w:rsidR="00DF0203" w:rsidRPr="00DF0203" w:rsidRDefault="00DF0203" w:rsidP="00DF0203">
      <w:pPr>
        <w:pStyle w:val="Standard"/>
        <w:widowControl w:val="0"/>
        <w:shd w:val="clear" w:color="auto" w:fill="FFFFFF"/>
        <w:tabs>
          <w:tab w:val="left" w:pos="-2923"/>
          <w:tab w:val="left" w:pos="-2698"/>
        </w:tabs>
        <w:ind w:left="924"/>
        <w:jc w:val="both"/>
        <w:rPr>
          <w:rFonts w:ascii="Arial" w:hAnsi="Arial" w:cs="Arial"/>
          <w:sz w:val="22"/>
          <w:szCs w:val="22"/>
        </w:rPr>
      </w:pPr>
    </w:p>
    <w:p w14:paraId="7D4EA8D8" w14:textId="77777777" w:rsidR="00DF0203" w:rsidRPr="00DF0203" w:rsidRDefault="00DF0203" w:rsidP="00DF0203">
      <w:pPr>
        <w:pStyle w:val="Standard"/>
        <w:widowControl w:val="0"/>
        <w:numPr>
          <w:ilvl w:val="0"/>
          <w:numId w:val="38"/>
        </w:numPr>
        <w:shd w:val="clear" w:color="auto" w:fill="FFFFFF"/>
        <w:tabs>
          <w:tab w:val="left" w:pos="-2923"/>
          <w:tab w:val="left" w:pos="-2698"/>
        </w:tabs>
        <w:ind w:left="924"/>
        <w:jc w:val="both"/>
        <w:rPr>
          <w:rFonts w:ascii="Arial" w:hAnsi="Arial" w:cs="Arial"/>
          <w:sz w:val="22"/>
          <w:szCs w:val="22"/>
        </w:rPr>
      </w:pPr>
      <w:r w:rsidRPr="00DF0203">
        <w:rPr>
          <w:rFonts w:ascii="Arial" w:hAnsi="Arial" w:cs="Arial"/>
          <w:sz w:val="22"/>
          <w:szCs w:val="22"/>
        </w:rPr>
        <w:t>La razón de trabajo</w:t>
      </w:r>
      <w:r w:rsidR="0062408D">
        <w:rPr>
          <w:rFonts w:ascii="Arial" w:hAnsi="Arial" w:cs="Arial"/>
          <w:sz w:val="22"/>
          <w:szCs w:val="22"/>
        </w:rPr>
        <w:t>,</w:t>
      </w:r>
      <w:r w:rsidRPr="00DF0203">
        <w:rPr>
          <w:rFonts w:ascii="Arial" w:hAnsi="Arial" w:cs="Arial"/>
          <w:sz w:val="22"/>
          <w:szCs w:val="22"/>
        </w:rPr>
        <w:t xml:space="preserve"> </w:t>
      </w:r>
      <w:r w:rsidR="0062408D">
        <w:rPr>
          <w:rFonts w:ascii="Arial" w:hAnsi="Arial" w:cs="Arial"/>
          <w:sz w:val="22"/>
          <w:szCs w:val="22"/>
        </w:rPr>
        <w:t>para el 2018 fue de un 75</w:t>
      </w:r>
      <w:r w:rsidRPr="00DF0203">
        <w:rPr>
          <w:rFonts w:ascii="Arial" w:hAnsi="Arial" w:cs="Arial"/>
          <w:sz w:val="22"/>
          <w:szCs w:val="22"/>
        </w:rPr>
        <w:t xml:space="preserve">.35%, disminuyendo en un 7%, con relación al mismo período del 2017 (81.44%), lo cual es producto de un crecimiento en los ingresos y no de una disminución en los gastos.  Los Gastos Operativos Netos solo crecieron en un </w:t>
      </w:r>
      <w:r w:rsidR="0062408D">
        <w:rPr>
          <w:rFonts w:ascii="Arial" w:hAnsi="Arial" w:cs="Arial"/>
          <w:sz w:val="22"/>
          <w:szCs w:val="22"/>
        </w:rPr>
        <w:t>5</w:t>
      </w:r>
      <w:r w:rsidRPr="00DF0203">
        <w:rPr>
          <w:rFonts w:ascii="Arial" w:hAnsi="Arial" w:cs="Arial"/>
          <w:sz w:val="22"/>
          <w:szCs w:val="22"/>
        </w:rPr>
        <w:t>% (¢</w:t>
      </w:r>
      <w:r w:rsidR="0062408D">
        <w:rPr>
          <w:rFonts w:ascii="Arial" w:hAnsi="Arial" w:cs="Arial"/>
          <w:sz w:val="22"/>
          <w:szCs w:val="22"/>
        </w:rPr>
        <w:t>7,463</w:t>
      </w:r>
      <w:r w:rsidRPr="00DF0203">
        <w:rPr>
          <w:rFonts w:ascii="Arial" w:hAnsi="Arial" w:cs="Arial"/>
          <w:sz w:val="22"/>
          <w:szCs w:val="22"/>
        </w:rPr>
        <w:t xml:space="preserve"> millones), entre tanto los Ingresos Totales crecen en un 1</w:t>
      </w:r>
      <w:r w:rsidR="0062408D">
        <w:rPr>
          <w:rFonts w:ascii="Arial" w:hAnsi="Arial" w:cs="Arial"/>
          <w:sz w:val="22"/>
          <w:szCs w:val="22"/>
        </w:rPr>
        <w:t>2</w:t>
      </w:r>
      <w:r w:rsidRPr="00DF0203">
        <w:rPr>
          <w:rFonts w:ascii="Arial" w:hAnsi="Arial" w:cs="Arial"/>
          <w:sz w:val="22"/>
          <w:szCs w:val="22"/>
        </w:rPr>
        <w:t>% (</w:t>
      </w:r>
      <w:r w:rsidR="0062408D">
        <w:rPr>
          <w:rFonts w:ascii="Arial" w:hAnsi="Arial" w:cs="Arial"/>
          <w:sz w:val="22"/>
          <w:szCs w:val="22"/>
        </w:rPr>
        <w:t>¢</w:t>
      </w:r>
      <w:r w:rsidRPr="00DF0203">
        <w:rPr>
          <w:rFonts w:ascii="Arial" w:hAnsi="Arial" w:cs="Arial"/>
          <w:sz w:val="22"/>
          <w:szCs w:val="22"/>
        </w:rPr>
        <w:t>15,909 millones).</w:t>
      </w:r>
    </w:p>
    <w:p w14:paraId="4DB05091" w14:textId="77777777" w:rsidR="00DF0203" w:rsidRPr="00DF0203" w:rsidRDefault="00DF0203" w:rsidP="00DF0203">
      <w:pPr>
        <w:pStyle w:val="Standard"/>
        <w:widowControl w:val="0"/>
        <w:shd w:val="clear" w:color="auto" w:fill="FFFFFF"/>
        <w:tabs>
          <w:tab w:val="left" w:pos="-2923"/>
          <w:tab w:val="left" w:pos="-2698"/>
        </w:tabs>
        <w:spacing w:line="100" w:lineRule="atLeast"/>
        <w:rPr>
          <w:rFonts w:ascii="Arial" w:hAnsi="Arial" w:cs="Arial"/>
          <w:b/>
          <w:color w:val="FF0000"/>
          <w:sz w:val="22"/>
          <w:szCs w:val="22"/>
        </w:rPr>
      </w:pPr>
    </w:p>
    <w:p w14:paraId="000FAC50" w14:textId="77777777" w:rsidR="00DF0203" w:rsidRDefault="00DF0203" w:rsidP="00DF0203">
      <w:pPr>
        <w:pStyle w:val="Standard"/>
        <w:widowControl w:val="0"/>
        <w:numPr>
          <w:ilvl w:val="0"/>
          <w:numId w:val="38"/>
        </w:numPr>
        <w:shd w:val="clear" w:color="auto" w:fill="FFFFFF"/>
        <w:tabs>
          <w:tab w:val="left" w:pos="-2923"/>
          <w:tab w:val="left" w:pos="-2698"/>
        </w:tabs>
        <w:spacing w:line="100" w:lineRule="atLeast"/>
        <w:jc w:val="both"/>
        <w:rPr>
          <w:rFonts w:ascii="Arial" w:hAnsi="Arial" w:cs="Arial"/>
          <w:sz w:val="22"/>
          <w:szCs w:val="22"/>
        </w:rPr>
      </w:pPr>
      <w:r w:rsidRPr="00DF0203">
        <w:rPr>
          <w:rFonts w:ascii="Arial" w:hAnsi="Arial" w:cs="Arial"/>
          <w:sz w:val="22"/>
          <w:szCs w:val="22"/>
        </w:rPr>
        <w:t>La razón costo de personal con relación a los Gastos Operativos fue de un 48.75% y para el 2017 fue de un 48.83% reflejando un leve aumento del 0.2%.  El incremento de salarios para el I y II semestre del 2017 fue de un 0.76% y 0.75% respectivamente.  Mientras que para el I semestre del 2018 fue del 1.55% y para el II semestre el incremento del costo de vida fue ¢3.750</w:t>
      </w:r>
      <w:r w:rsidR="0062408D">
        <w:rPr>
          <w:rFonts w:ascii="Arial" w:hAnsi="Arial" w:cs="Arial"/>
          <w:sz w:val="22"/>
          <w:szCs w:val="22"/>
        </w:rPr>
        <w:t>.</w:t>
      </w:r>
      <w:r w:rsidRPr="00DF0203">
        <w:rPr>
          <w:rFonts w:ascii="Arial" w:hAnsi="Arial" w:cs="Arial"/>
          <w:sz w:val="22"/>
          <w:szCs w:val="22"/>
        </w:rPr>
        <w:t xml:space="preserve"> </w:t>
      </w:r>
    </w:p>
    <w:p w14:paraId="7452202C" w14:textId="77777777" w:rsidR="00DF0203" w:rsidRDefault="00DF0203" w:rsidP="00DF0203">
      <w:pPr>
        <w:pStyle w:val="Standard"/>
        <w:widowControl w:val="0"/>
        <w:shd w:val="clear" w:color="auto" w:fill="FFFFFF"/>
        <w:tabs>
          <w:tab w:val="left" w:pos="-2923"/>
          <w:tab w:val="left" w:pos="-2698"/>
        </w:tabs>
        <w:spacing w:line="100" w:lineRule="atLeast"/>
        <w:jc w:val="both"/>
        <w:rPr>
          <w:rFonts w:ascii="Arial" w:eastAsiaTheme="minorHAnsi" w:hAnsi="Arial" w:cs="Arial"/>
          <w:kern w:val="0"/>
          <w:sz w:val="22"/>
          <w:szCs w:val="22"/>
          <w:lang w:val="es-CR" w:eastAsia="en-US"/>
        </w:rPr>
      </w:pPr>
    </w:p>
    <w:p w14:paraId="0DA93126" w14:textId="77777777" w:rsidR="00DF0203" w:rsidRDefault="00DF0203" w:rsidP="00DF0203">
      <w:pPr>
        <w:pStyle w:val="Standard"/>
        <w:widowControl w:val="0"/>
        <w:shd w:val="clear" w:color="auto" w:fill="FFFFFF"/>
        <w:tabs>
          <w:tab w:val="left" w:pos="-2923"/>
          <w:tab w:val="left" w:pos="-2698"/>
        </w:tabs>
        <w:spacing w:line="100" w:lineRule="atLeast"/>
        <w:jc w:val="both"/>
        <w:rPr>
          <w:rFonts w:ascii="Arial" w:eastAsiaTheme="minorHAnsi" w:hAnsi="Arial" w:cs="Arial"/>
          <w:kern w:val="0"/>
          <w:sz w:val="22"/>
          <w:szCs w:val="22"/>
          <w:lang w:val="es-CR" w:eastAsia="en-US"/>
        </w:rPr>
      </w:pPr>
    </w:p>
    <w:p w14:paraId="2ECF34FB" w14:textId="77777777" w:rsidR="00DF0203" w:rsidRDefault="00DF0203" w:rsidP="00DF0203">
      <w:pPr>
        <w:pStyle w:val="Standard"/>
        <w:widowControl w:val="0"/>
        <w:shd w:val="clear" w:color="auto" w:fill="FFFFFF"/>
        <w:tabs>
          <w:tab w:val="left" w:pos="-2923"/>
          <w:tab w:val="left" w:pos="-2698"/>
        </w:tabs>
        <w:spacing w:line="100" w:lineRule="atLeast"/>
        <w:jc w:val="both"/>
        <w:rPr>
          <w:rFonts w:ascii="Arial" w:hAnsi="Arial" w:cs="Arial"/>
          <w:sz w:val="22"/>
          <w:szCs w:val="22"/>
        </w:rPr>
      </w:pPr>
    </w:p>
    <w:p w14:paraId="5E30412C" w14:textId="77777777" w:rsidR="001F3044" w:rsidRDefault="001F3044" w:rsidP="00DF0203">
      <w:pPr>
        <w:pStyle w:val="Standard"/>
        <w:widowControl w:val="0"/>
        <w:shd w:val="clear" w:color="auto" w:fill="FFFFFF"/>
        <w:tabs>
          <w:tab w:val="left" w:pos="-2923"/>
          <w:tab w:val="left" w:pos="-2698"/>
        </w:tabs>
        <w:spacing w:line="100" w:lineRule="atLeast"/>
        <w:jc w:val="both"/>
        <w:rPr>
          <w:rFonts w:ascii="Arial" w:hAnsi="Arial" w:cs="Arial"/>
          <w:sz w:val="22"/>
          <w:szCs w:val="22"/>
        </w:rPr>
      </w:pPr>
    </w:p>
    <w:p w14:paraId="7C411377" w14:textId="77777777" w:rsidR="001F3044" w:rsidRDefault="001F3044" w:rsidP="001F3044">
      <w:pPr>
        <w:pStyle w:val="Standard"/>
        <w:widowControl w:val="0"/>
        <w:shd w:val="clear" w:color="auto" w:fill="FFFFFF"/>
        <w:tabs>
          <w:tab w:val="left" w:pos="-2923"/>
          <w:tab w:val="left" w:pos="-2698"/>
        </w:tabs>
        <w:spacing w:line="100" w:lineRule="atLeast"/>
        <w:jc w:val="right"/>
        <w:rPr>
          <w:rFonts w:ascii="Arial" w:hAnsi="Arial" w:cs="Arial"/>
          <w:sz w:val="22"/>
          <w:szCs w:val="22"/>
        </w:rPr>
      </w:pPr>
      <w:r>
        <w:rPr>
          <w:rFonts w:ascii="Arial" w:hAnsi="Arial" w:cs="Arial"/>
          <w:sz w:val="22"/>
          <w:szCs w:val="22"/>
        </w:rPr>
        <w:t>47</w:t>
      </w:r>
    </w:p>
    <w:p w14:paraId="6794BE4E" w14:textId="77777777" w:rsidR="00FA155A" w:rsidRPr="00DF0203" w:rsidRDefault="00FA155A" w:rsidP="00DF0203">
      <w:pPr>
        <w:pStyle w:val="Standard"/>
        <w:widowControl w:val="0"/>
        <w:shd w:val="clear" w:color="auto" w:fill="FFFFFF"/>
        <w:tabs>
          <w:tab w:val="left" w:pos="-2923"/>
          <w:tab w:val="left" w:pos="-2698"/>
        </w:tabs>
        <w:spacing w:line="100" w:lineRule="atLeast"/>
        <w:jc w:val="both"/>
        <w:rPr>
          <w:rFonts w:ascii="Arial" w:hAnsi="Arial" w:cs="Arial"/>
          <w:sz w:val="22"/>
          <w:szCs w:val="22"/>
        </w:rPr>
      </w:pPr>
    </w:p>
    <w:p w14:paraId="50559CC3" w14:textId="77777777" w:rsidR="00DF0203" w:rsidRPr="00DF0203" w:rsidRDefault="00DF0203" w:rsidP="00DF0203">
      <w:pPr>
        <w:pStyle w:val="Standard"/>
        <w:widowControl w:val="0"/>
        <w:shd w:val="clear" w:color="auto" w:fill="FFFFFF"/>
        <w:tabs>
          <w:tab w:val="left" w:pos="-2923"/>
          <w:tab w:val="left" w:pos="-2698"/>
        </w:tabs>
        <w:spacing w:line="100" w:lineRule="atLeast"/>
        <w:ind w:left="567"/>
        <w:jc w:val="both"/>
        <w:rPr>
          <w:rFonts w:ascii="Arial" w:hAnsi="Arial" w:cs="Arial"/>
          <w:sz w:val="22"/>
          <w:szCs w:val="22"/>
        </w:rPr>
      </w:pPr>
    </w:p>
    <w:p w14:paraId="7F6BCA4A" w14:textId="77777777" w:rsidR="00DF0203" w:rsidRPr="00DF0203" w:rsidRDefault="00DF0203" w:rsidP="00DF0203">
      <w:pPr>
        <w:pStyle w:val="Standard"/>
        <w:widowControl w:val="0"/>
        <w:numPr>
          <w:ilvl w:val="0"/>
          <w:numId w:val="38"/>
        </w:numPr>
        <w:shd w:val="clear" w:color="auto" w:fill="FFFFFF"/>
        <w:tabs>
          <w:tab w:val="left" w:pos="-2923"/>
          <w:tab w:val="left" w:pos="-2698"/>
        </w:tabs>
        <w:spacing w:line="100" w:lineRule="atLeast"/>
        <w:jc w:val="both"/>
        <w:rPr>
          <w:rFonts w:ascii="Arial" w:hAnsi="Arial" w:cs="Arial"/>
          <w:sz w:val="22"/>
          <w:szCs w:val="22"/>
        </w:rPr>
      </w:pPr>
      <w:r w:rsidRPr="00DF0203">
        <w:rPr>
          <w:rFonts w:ascii="Arial" w:hAnsi="Arial" w:cs="Arial"/>
          <w:sz w:val="22"/>
          <w:szCs w:val="22"/>
        </w:rPr>
        <w:t>La rentabilidad del activo</w:t>
      </w:r>
      <w:r w:rsidR="00FE34F0">
        <w:rPr>
          <w:rFonts w:ascii="Arial" w:hAnsi="Arial" w:cs="Arial"/>
          <w:sz w:val="22"/>
          <w:szCs w:val="22"/>
        </w:rPr>
        <w:t>, al</w:t>
      </w:r>
      <w:r w:rsidRPr="00DF0203">
        <w:rPr>
          <w:rFonts w:ascii="Arial" w:hAnsi="Arial" w:cs="Arial"/>
          <w:sz w:val="22"/>
          <w:szCs w:val="22"/>
        </w:rPr>
        <w:t xml:space="preserve"> 31 de diciembre del 2018, el resultado de este indicador no muestra rentabilidad, al obtener un resultado negativo de 2 puntos, para el mismo periodo del 2017 igualmente no presenta rentabilidad al alcanzar un resultado negativo de 2.96 puntos, lo que provoca una mejora de 0.96 puntos (32.4%), debido a que la Pérdida Neta muestra una disminución de ¢5,188 millones (26%), al pasar de ¢20,205 millones a ¢15,017 millones en el 2018.</w:t>
      </w:r>
    </w:p>
    <w:p w14:paraId="653C76D6" w14:textId="77777777" w:rsidR="00DF0203" w:rsidRPr="00DF0203" w:rsidRDefault="00DF0203" w:rsidP="00DF0203">
      <w:pPr>
        <w:pStyle w:val="Standard"/>
        <w:widowControl w:val="0"/>
        <w:shd w:val="clear" w:color="auto" w:fill="FFFFFF"/>
        <w:tabs>
          <w:tab w:val="left" w:pos="-2923"/>
          <w:tab w:val="left" w:pos="-2698"/>
        </w:tabs>
        <w:spacing w:line="100" w:lineRule="atLeast"/>
        <w:ind w:left="927"/>
        <w:jc w:val="both"/>
        <w:rPr>
          <w:rFonts w:ascii="Arial" w:hAnsi="Arial" w:cs="Arial"/>
          <w:sz w:val="22"/>
          <w:szCs w:val="22"/>
        </w:rPr>
      </w:pPr>
      <w:r w:rsidRPr="00DF0203">
        <w:rPr>
          <w:rFonts w:ascii="Arial" w:hAnsi="Arial" w:cs="Arial"/>
          <w:sz w:val="22"/>
          <w:szCs w:val="22"/>
        </w:rPr>
        <w:t xml:space="preserve"> </w:t>
      </w:r>
    </w:p>
    <w:p w14:paraId="5BA7D69E" w14:textId="77777777" w:rsidR="00DF0203" w:rsidRPr="00DF0203" w:rsidRDefault="00DF0203" w:rsidP="00DF0203">
      <w:pPr>
        <w:pStyle w:val="Standard"/>
        <w:widowControl w:val="0"/>
        <w:numPr>
          <w:ilvl w:val="0"/>
          <w:numId w:val="38"/>
        </w:numPr>
        <w:shd w:val="clear" w:color="auto" w:fill="FFFFFF"/>
        <w:tabs>
          <w:tab w:val="left" w:pos="-2923"/>
          <w:tab w:val="left" w:pos="-2698"/>
        </w:tabs>
        <w:spacing w:line="100" w:lineRule="atLeast"/>
        <w:jc w:val="both"/>
        <w:rPr>
          <w:rFonts w:ascii="Arial" w:hAnsi="Arial" w:cs="Arial"/>
          <w:sz w:val="22"/>
          <w:szCs w:val="22"/>
        </w:rPr>
      </w:pPr>
      <w:r w:rsidRPr="00DF0203">
        <w:rPr>
          <w:rFonts w:ascii="Arial" w:hAnsi="Arial" w:cs="Arial"/>
          <w:sz w:val="22"/>
          <w:szCs w:val="22"/>
        </w:rPr>
        <w:t>La cobertura de la deuda fue 3.25 veces mostrando que, con la Generación Interna la Institución contó con la capacidad para cubrir los ¢11,138 millones del servicio de la deuda, influenciado primordialmente por el crecimiento de ¢10,641 millones en la Generación Interna Bruta.</w:t>
      </w:r>
    </w:p>
    <w:p w14:paraId="50E1544C" w14:textId="77777777" w:rsidR="00DF0203" w:rsidRPr="00DF0203" w:rsidRDefault="00DF0203" w:rsidP="00DF0203">
      <w:pPr>
        <w:pStyle w:val="Standard"/>
        <w:widowControl w:val="0"/>
        <w:shd w:val="clear" w:color="auto" w:fill="FFFFFF"/>
        <w:tabs>
          <w:tab w:val="left" w:pos="-2923"/>
          <w:tab w:val="left" w:pos="-2698"/>
        </w:tabs>
        <w:spacing w:line="100" w:lineRule="atLeast"/>
        <w:ind w:left="927"/>
        <w:jc w:val="both"/>
        <w:rPr>
          <w:rFonts w:ascii="Arial" w:hAnsi="Arial" w:cs="Arial"/>
          <w:sz w:val="22"/>
          <w:szCs w:val="22"/>
        </w:rPr>
      </w:pPr>
    </w:p>
    <w:p w14:paraId="6F6BCCD6" w14:textId="77777777" w:rsidR="00DF0203" w:rsidRPr="00DF0203" w:rsidRDefault="00DF0203" w:rsidP="00DF0203">
      <w:pPr>
        <w:pStyle w:val="Standard"/>
        <w:widowControl w:val="0"/>
        <w:numPr>
          <w:ilvl w:val="0"/>
          <w:numId w:val="38"/>
        </w:numPr>
        <w:shd w:val="clear" w:color="auto" w:fill="FFFFFF"/>
        <w:tabs>
          <w:tab w:val="left" w:pos="-2923"/>
          <w:tab w:val="left" w:pos="-2698"/>
        </w:tabs>
        <w:spacing w:line="100" w:lineRule="atLeast"/>
        <w:jc w:val="both"/>
        <w:rPr>
          <w:rFonts w:ascii="Arial" w:hAnsi="Arial" w:cs="Arial"/>
          <w:sz w:val="22"/>
          <w:szCs w:val="22"/>
        </w:rPr>
      </w:pPr>
      <w:r w:rsidRPr="00DF0203">
        <w:rPr>
          <w:rFonts w:ascii="Arial" w:hAnsi="Arial" w:cs="Arial"/>
          <w:sz w:val="22"/>
          <w:szCs w:val="22"/>
        </w:rPr>
        <w:t>La razón de período medio de cobro, para diciembre del 2018 fue de 0.96 puntos (29 días) y para el mismo periodo del 2017 fue mayor al obtener 1.05 (31 días) reflejando una leve mejora de 3 días en la recuperación de la facturación al cobro.</w:t>
      </w:r>
    </w:p>
    <w:p w14:paraId="159E16CB" w14:textId="77777777" w:rsidR="00DF0203" w:rsidRPr="00DF0203" w:rsidRDefault="00DF0203" w:rsidP="00DF0203">
      <w:pPr>
        <w:pStyle w:val="Standard"/>
        <w:widowControl w:val="0"/>
        <w:shd w:val="clear" w:color="auto" w:fill="FFFFFF"/>
        <w:tabs>
          <w:tab w:val="left" w:pos="-2923"/>
          <w:tab w:val="left" w:pos="-2698"/>
        </w:tabs>
        <w:spacing w:line="100" w:lineRule="atLeast"/>
        <w:ind w:left="927"/>
        <w:jc w:val="both"/>
        <w:rPr>
          <w:rFonts w:ascii="Arial" w:hAnsi="Arial" w:cs="Arial"/>
          <w:sz w:val="22"/>
          <w:szCs w:val="22"/>
        </w:rPr>
      </w:pPr>
    </w:p>
    <w:p w14:paraId="6CDD36B2" w14:textId="77777777" w:rsidR="00DF0203" w:rsidRPr="00DF0203" w:rsidRDefault="00DF0203" w:rsidP="00DF0203">
      <w:pPr>
        <w:pStyle w:val="Standard"/>
        <w:widowControl w:val="0"/>
        <w:numPr>
          <w:ilvl w:val="0"/>
          <w:numId w:val="38"/>
        </w:numPr>
        <w:shd w:val="clear" w:color="auto" w:fill="FFFFFF"/>
        <w:tabs>
          <w:tab w:val="left" w:pos="-2923"/>
          <w:tab w:val="left" w:pos="-2698"/>
        </w:tabs>
        <w:spacing w:line="100" w:lineRule="atLeast"/>
        <w:jc w:val="both"/>
        <w:rPr>
          <w:rFonts w:ascii="Arial" w:hAnsi="Arial" w:cs="Arial"/>
          <w:sz w:val="22"/>
          <w:szCs w:val="22"/>
        </w:rPr>
      </w:pPr>
      <w:r w:rsidRPr="00DF0203">
        <w:rPr>
          <w:rFonts w:ascii="Arial" w:hAnsi="Arial" w:cs="Arial"/>
          <w:sz w:val="22"/>
          <w:szCs w:val="22"/>
        </w:rPr>
        <w:t>La razón de endeudamiento crece de 10.03 a 10.40 (0.37 puntos), producto de una mejor ejecución en los desembolsos de los préstamos externos.</w:t>
      </w:r>
    </w:p>
    <w:p w14:paraId="7D883968" w14:textId="77777777" w:rsidR="00DF0203" w:rsidRPr="00DF0203" w:rsidRDefault="00DF0203" w:rsidP="00DF0203">
      <w:pPr>
        <w:pStyle w:val="Standard"/>
        <w:widowControl w:val="0"/>
        <w:shd w:val="clear" w:color="auto" w:fill="FFFFFF"/>
        <w:tabs>
          <w:tab w:val="left" w:pos="-2923"/>
          <w:tab w:val="left" w:pos="-2698"/>
        </w:tabs>
        <w:spacing w:line="100" w:lineRule="atLeast"/>
        <w:ind w:left="927"/>
        <w:jc w:val="both"/>
        <w:rPr>
          <w:rFonts w:ascii="Arial" w:hAnsi="Arial" w:cs="Arial"/>
          <w:sz w:val="22"/>
          <w:szCs w:val="22"/>
        </w:rPr>
      </w:pPr>
    </w:p>
    <w:p w14:paraId="6E0F369A" w14:textId="77777777" w:rsidR="00DF0203" w:rsidRPr="00DF0203" w:rsidRDefault="00DF0203" w:rsidP="00DF0203">
      <w:pPr>
        <w:pStyle w:val="Standard"/>
        <w:widowControl w:val="0"/>
        <w:numPr>
          <w:ilvl w:val="0"/>
          <w:numId w:val="38"/>
        </w:numPr>
        <w:shd w:val="clear" w:color="auto" w:fill="FFFFFF"/>
        <w:tabs>
          <w:tab w:val="left" w:pos="-2923"/>
          <w:tab w:val="left" w:pos="-2698"/>
        </w:tabs>
        <w:spacing w:line="100" w:lineRule="atLeast"/>
        <w:jc w:val="both"/>
        <w:rPr>
          <w:rFonts w:ascii="Arial" w:hAnsi="Arial" w:cs="Arial"/>
          <w:sz w:val="22"/>
          <w:szCs w:val="22"/>
        </w:rPr>
      </w:pPr>
      <w:r w:rsidRPr="00DF0203">
        <w:rPr>
          <w:rFonts w:ascii="Arial" w:hAnsi="Arial" w:cs="Arial"/>
          <w:sz w:val="22"/>
          <w:szCs w:val="22"/>
        </w:rPr>
        <w:t xml:space="preserve">La razón de energía eléctrica, decrece favorablemente en 0.32 puntos (4%), al pasar de 8.47 a 8.15 al 31 de diciembre del 2018, esta baja del </w:t>
      </w:r>
      <w:r w:rsidR="00FE34F0">
        <w:rPr>
          <w:rFonts w:ascii="Arial" w:hAnsi="Arial" w:cs="Arial"/>
          <w:sz w:val="22"/>
          <w:szCs w:val="22"/>
        </w:rPr>
        <w:t>4</w:t>
      </w:r>
      <w:r w:rsidRPr="00DF0203">
        <w:rPr>
          <w:rFonts w:ascii="Arial" w:hAnsi="Arial" w:cs="Arial"/>
          <w:sz w:val="22"/>
          <w:szCs w:val="22"/>
        </w:rPr>
        <w:t>% en el indicador es producto del crecimiento en los Ingresos (no incluye Otros Ingresos) de ¢13,931 millones (10%) y que los costos de Energía Eléctrica crecen en menor proporción en ¢700 millones (6%).</w:t>
      </w:r>
    </w:p>
    <w:p w14:paraId="58AE9A78" w14:textId="77777777" w:rsidR="00DF0203" w:rsidRPr="00DF0203" w:rsidRDefault="00DF0203" w:rsidP="00DF0203">
      <w:pPr>
        <w:pStyle w:val="Standard"/>
        <w:widowControl w:val="0"/>
        <w:shd w:val="clear" w:color="auto" w:fill="FFFFFF"/>
        <w:tabs>
          <w:tab w:val="left" w:pos="-2923"/>
          <w:tab w:val="left" w:pos="-2698"/>
        </w:tabs>
        <w:spacing w:line="100" w:lineRule="atLeast"/>
        <w:rPr>
          <w:rFonts w:ascii="Arial" w:hAnsi="Arial" w:cs="Arial"/>
          <w:b/>
          <w:color w:val="FF0000"/>
          <w:sz w:val="22"/>
          <w:szCs w:val="22"/>
        </w:rPr>
      </w:pPr>
    </w:p>
    <w:p w14:paraId="3D68D66B" w14:textId="77777777" w:rsidR="00DF0203" w:rsidRPr="00DF0203" w:rsidRDefault="00F73718" w:rsidP="00594CE1">
      <w:pPr>
        <w:pStyle w:val="Standard"/>
        <w:widowControl w:val="0"/>
        <w:numPr>
          <w:ilvl w:val="0"/>
          <w:numId w:val="38"/>
        </w:numPr>
        <w:shd w:val="clear" w:color="auto" w:fill="FFFFFF"/>
        <w:tabs>
          <w:tab w:val="left" w:pos="-2923"/>
          <w:tab w:val="left" w:pos="-2698"/>
        </w:tabs>
        <w:overflowPunct/>
        <w:autoSpaceDE/>
        <w:spacing w:line="100" w:lineRule="atLeast"/>
        <w:jc w:val="both"/>
        <w:rPr>
          <w:rFonts w:ascii="Arial" w:hAnsi="Arial" w:cs="Arial"/>
          <w:color w:val="FF0000"/>
          <w:sz w:val="22"/>
          <w:szCs w:val="22"/>
        </w:rPr>
      </w:pPr>
      <w:r w:rsidRPr="00F73718">
        <w:rPr>
          <w:rFonts w:ascii="Arial" w:hAnsi="Arial" w:cs="Arial"/>
          <w:sz w:val="22"/>
          <w:szCs w:val="22"/>
        </w:rPr>
        <w:t xml:space="preserve">El </w:t>
      </w:r>
      <w:r w:rsidRPr="001E6AD2">
        <w:rPr>
          <w:rFonts w:ascii="Arial" w:hAnsi="Arial" w:cs="Arial"/>
          <w:b/>
          <w:sz w:val="22"/>
          <w:szCs w:val="22"/>
        </w:rPr>
        <w:t>saldo inicial de caj</w:t>
      </w:r>
      <w:r w:rsidRPr="00F73718">
        <w:rPr>
          <w:rFonts w:ascii="Arial" w:hAnsi="Arial" w:cs="Arial"/>
          <w:sz w:val="22"/>
          <w:szCs w:val="22"/>
        </w:rPr>
        <w:t>a ajustado para el periodo 2018 es de ¢36.881.08 millones. Los ingresos por venta de servicios al 31/12/2018 ascienden a ¢149.031.08 millones, suma que incluye los ingresos por la tarifa de Hidrantes que ascienden a ¢3.516.92 millones. Por Ingresos Financieros y Otros se ha percibido en ese mismo periodo el monto de ¢3.231.54 millones que se desglosan de la siguiente manera: ¢1.980.53 millones por intereses sobre saldos en cuentas corrientes, convenios municipales y títulos valores; ¢1.56 millones valoración título Setena, ¢1.07 millones apertura cuenta corriente de Gestión Ambiental, ¢239.06 millones</w:t>
      </w:r>
      <w:r w:rsidR="00DF0203">
        <w:rPr>
          <w:rFonts w:ascii="Arial" w:hAnsi="Arial" w:cs="Arial"/>
          <w:sz w:val="22"/>
          <w:szCs w:val="22"/>
        </w:rPr>
        <w:t>.</w:t>
      </w:r>
    </w:p>
    <w:p w14:paraId="79F6A521" w14:textId="77777777" w:rsidR="000E3508" w:rsidRPr="001E6AD2" w:rsidRDefault="00DF0203" w:rsidP="00DF0203">
      <w:pPr>
        <w:pStyle w:val="Standard"/>
        <w:widowControl w:val="0"/>
        <w:shd w:val="clear" w:color="auto" w:fill="FFFFFF"/>
        <w:tabs>
          <w:tab w:val="left" w:pos="-2923"/>
          <w:tab w:val="left" w:pos="-2698"/>
        </w:tabs>
        <w:overflowPunct/>
        <w:autoSpaceDE/>
        <w:spacing w:line="100" w:lineRule="atLeast"/>
        <w:ind w:left="927"/>
        <w:jc w:val="both"/>
        <w:rPr>
          <w:rFonts w:ascii="Arial" w:hAnsi="Arial" w:cs="Arial"/>
          <w:color w:val="FF0000"/>
          <w:sz w:val="22"/>
          <w:szCs w:val="22"/>
        </w:rPr>
      </w:pPr>
      <w:r>
        <w:rPr>
          <w:rFonts w:ascii="Arial" w:hAnsi="Arial" w:cs="Arial"/>
          <w:sz w:val="22"/>
          <w:szCs w:val="22"/>
        </w:rPr>
        <w:t>E</w:t>
      </w:r>
      <w:r w:rsidR="00F73718" w:rsidRPr="00F73718">
        <w:rPr>
          <w:rFonts w:ascii="Arial" w:hAnsi="Arial" w:cs="Arial"/>
          <w:sz w:val="22"/>
          <w:szCs w:val="22"/>
        </w:rPr>
        <w:t>n el rubro de Ingresos por Devolución del 2% por retenciones de renta, ¢44.03 millones Recuperación de años anteriores y Otros Ingresos ¢819.44 millones (plantas tratamiento, cuentas a cobrar empleados, venta reactivos y chatarra), Ingresos por Sistemas Comunales Asumidos ¢86.60 millones y ¢60.12 millones correspondiente a la Concesión Neta en préstamos; mostrando un total de ingresos de ¢152.262.62 millones.</w:t>
      </w:r>
    </w:p>
    <w:p w14:paraId="0629D02A" w14:textId="77777777" w:rsidR="001E6AD2" w:rsidRPr="00F73718" w:rsidRDefault="001E6AD2" w:rsidP="001E6AD2">
      <w:pPr>
        <w:pStyle w:val="Standard"/>
        <w:widowControl w:val="0"/>
        <w:shd w:val="clear" w:color="auto" w:fill="FFFFFF"/>
        <w:tabs>
          <w:tab w:val="left" w:pos="-2923"/>
          <w:tab w:val="left" w:pos="-2698"/>
        </w:tabs>
        <w:overflowPunct/>
        <w:autoSpaceDE/>
        <w:spacing w:line="100" w:lineRule="atLeast"/>
        <w:jc w:val="both"/>
        <w:rPr>
          <w:rFonts w:ascii="Arial" w:hAnsi="Arial" w:cs="Arial"/>
          <w:color w:val="FF0000"/>
          <w:sz w:val="22"/>
          <w:szCs w:val="22"/>
        </w:rPr>
      </w:pPr>
    </w:p>
    <w:p w14:paraId="0D238166" w14:textId="77777777" w:rsidR="001E6AD2" w:rsidRDefault="001E6AD2" w:rsidP="00A87E31">
      <w:pPr>
        <w:pStyle w:val="Prrafodelista"/>
        <w:widowControl w:val="0"/>
        <w:numPr>
          <w:ilvl w:val="0"/>
          <w:numId w:val="38"/>
        </w:numPr>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r w:rsidRPr="001E6AD2">
        <w:rPr>
          <w:rFonts w:ascii="Arial" w:eastAsia="Times New Roman" w:hAnsi="Arial" w:cs="Arial"/>
          <w:kern w:val="3"/>
          <w:lang w:val="es-ES" w:eastAsia="zh-CN"/>
        </w:rPr>
        <w:t xml:space="preserve">El </w:t>
      </w:r>
      <w:r w:rsidRPr="001E6AD2">
        <w:rPr>
          <w:rFonts w:ascii="Arial" w:eastAsia="Times New Roman" w:hAnsi="Arial" w:cs="Arial"/>
          <w:b/>
          <w:kern w:val="3"/>
          <w:lang w:val="es-ES" w:eastAsia="zh-CN"/>
        </w:rPr>
        <w:t>saldo final</w:t>
      </w:r>
      <w:r w:rsidRPr="001E6AD2">
        <w:rPr>
          <w:rFonts w:ascii="Arial" w:eastAsia="Times New Roman" w:hAnsi="Arial" w:cs="Arial"/>
          <w:kern w:val="3"/>
          <w:lang w:val="es-ES" w:eastAsia="zh-CN"/>
        </w:rPr>
        <w:t xml:space="preserve"> de caja 31 de diciembre del 2018 asciende a ¢33.591.69 millones mostrando una disminución de 8.9% con respecto al saldo inicial de caja de este período</w:t>
      </w:r>
      <w:r>
        <w:rPr>
          <w:rFonts w:ascii="Arial" w:eastAsia="Times New Roman" w:hAnsi="Arial" w:cs="Arial"/>
          <w:kern w:val="3"/>
          <w:lang w:val="es-ES" w:eastAsia="zh-CN"/>
        </w:rPr>
        <w:t xml:space="preserve">. </w:t>
      </w:r>
    </w:p>
    <w:p w14:paraId="2627EAFE" w14:textId="77777777" w:rsidR="001E6AD2" w:rsidRDefault="001E6AD2" w:rsidP="00A87E31">
      <w:pPr>
        <w:pStyle w:val="Prrafodelista"/>
        <w:rPr>
          <w:rFonts w:ascii="Arial" w:eastAsia="Times New Roman" w:hAnsi="Arial" w:cs="Arial"/>
          <w:kern w:val="3"/>
          <w:lang w:val="es-ES" w:eastAsia="zh-CN"/>
        </w:rPr>
      </w:pPr>
    </w:p>
    <w:p w14:paraId="646EC9F1" w14:textId="77777777" w:rsidR="00DF0203" w:rsidRPr="001E6AD2" w:rsidRDefault="001F3044" w:rsidP="001F3044">
      <w:pPr>
        <w:pStyle w:val="Prrafodelista"/>
        <w:jc w:val="right"/>
        <w:rPr>
          <w:rFonts w:ascii="Arial" w:eastAsia="Times New Roman" w:hAnsi="Arial" w:cs="Arial"/>
          <w:kern w:val="3"/>
          <w:lang w:val="es-ES" w:eastAsia="zh-CN"/>
        </w:rPr>
      </w:pPr>
      <w:r>
        <w:rPr>
          <w:rFonts w:ascii="Arial" w:eastAsia="Times New Roman" w:hAnsi="Arial" w:cs="Arial"/>
          <w:kern w:val="3"/>
          <w:lang w:val="es-ES" w:eastAsia="zh-CN"/>
        </w:rPr>
        <w:t>48</w:t>
      </w:r>
    </w:p>
    <w:p w14:paraId="0946212F" w14:textId="77777777" w:rsidR="001E6AD2" w:rsidRPr="001E6AD2" w:rsidRDefault="001E6AD2" w:rsidP="00594CE1">
      <w:pPr>
        <w:pStyle w:val="Prrafodelista"/>
        <w:widowControl w:val="0"/>
        <w:numPr>
          <w:ilvl w:val="0"/>
          <w:numId w:val="38"/>
        </w:numPr>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r w:rsidRPr="001E6AD2">
        <w:rPr>
          <w:rFonts w:ascii="Arial" w:eastAsia="Times New Roman" w:hAnsi="Arial" w:cs="Arial"/>
          <w:kern w:val="3"/>
          <w:lang w:val="es-ES" w:eastAsia="zh-CN"/>
        </w:rPr>
        <w:lastRenderedPageBreak/>
        <w:t xml:space="preserve">La </w:t>
      </w:r>
      <w:r w:rsidRPr="001E6AD2">
        <w:rPr>
          <w:rFonts w:ascii="Arial" w:eastAsia="Times New Roman" w:hAnsi="Arial" w:cs="Arial"/>
          <w:b/>
          <w:kern w:val="3"/>
          <w:lang w:val="es-ES" w:eastAsia="zh-CN"/>
        </w:rPr>
        <w:t>Subgerencia de Sistemas Comunales</w:t>
      </w:r>
      <w:r w:rsidRPr="001E6AD2">
        <w:rPr>
          <w:rFonts w:ascii="Arial" w:eastAsia="Times New Roman" w:hAnsi="Arial" w:cs="Arial"/>
          <w:kern w:val="3"/>
          <w:lang w:val="es-ES" w:eastAsia="zh-CN"/>
        </w:rPr>
        <w:t xml:space="preserve"> muestra una ejecución total de ¢3.972.73 millones, de ese monto el Programa de Asignaciones Familiares presenta una ejecución de ¢1.652.43 millones con Fondos Específicos, con Fondos de Contrapartida muestra una ejecución de ¢2.129.38 millones y ¢190.92 millones de Pequeñas Comunidades en Riesgo Sanitario. La ejecución total (¢3.972.73 millones) representa un 70% del monto del presupuesto estimado al mes de diciembre para este programa (¢5.679.50 millones).</w:t>
      </w:r>
    </w:p>
    <w:p w14:paraId="6273BA80" w14:textId="77777777" w:rsidR="001E6AD2" w:rsidRPr="001E6AD2" w:rsidRDefault="001E6AD2" w:rsidP="001E6AD2">
      <w:pPr>
        <w:pStyle w:val="Prrafodelista"/>
        <w:widowControl w:val="0"/>
        <w:tabs>
          <w:tab w:val="left" w:pos="284"/>
          <w:tab w:val="left" w:pos="5280"/>
        </w:tabs>
        <w:suppressAutoHyphens/>
        <w:autoSpaceDN w:val="0"/>
        <w:spacing w:before="0" w:beforeAutospacing="0" w:after="0" w:afterAutospacing="0" w:line="240" w:lineRule="auto"/>
        <w:ind w:left="927" w:right="425"/>
        <w:textAlignment w:val="baseline"/>
        <w:rPr>
          <w:rFonts w:ascii="Arial" w:eastAsia="Times New Roman" w:hAnsi="Arial" w:cs="Arial"/>
          <w:kern w:val="3"/>
          <w:lang w:val="es-ES" w:eastAsia="zh-CN"/>
        </w:rPr>
      </w:pPr>
    </w:p>
    <w:p w14:paraId="0CC6A3B5" w14:textId="77777777" w:rsidR="001E6AD2" w:rsidRPr="001E6AD2" w:rsidRDefault="001E6AD2" w:rsidP="00594CE1">
      <w:pPr>
        <w:pStyle w:val="Prrafodelista"/>
        <w:widowControl w:val="0"/>
        <w:numPr>
          <w:ilvl w:val="0"/>
          <w:numId w:val="38"/>
        </w:numPr>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r>
        <w:rPr>
          <w:rFonts w:ascii="Arial" w:eastAsia="Times New Roman" w:hAnsi="Arial" w:cs="Arial"/>
          <w:kern w:val="3"/>
          <w:lang w:val="es-ES" w:eastAsia="zh-CN"/>
        </w:rPr>
        <w:t xml:space="preserve">La </w:t>
      </w:r>
      <w:r w:rsidRPr="001E6AD2">
        <w:rPr>
          <w:rFonts w:ascii="Arial" w:eastAsia="Times New Roman" w:hAnsi="Arial" w:cs="Arial"/>
          <w:b/>
          <w:kern w:val="3"/>
          <w:lang w:val="es-ES" w:eastAsia="zh-CN"/>
        </w:rPr>
        <w:t>Unidad Ejecutora KFW II</w:t>
      </w:r>
      <w:r w:rsidRPr="001E6AD2">
        <w:rPr>
          <w:rFonts w:ascii="Arial" w:eastAsia="Times New Roman" w:hAnsi="Arial" w:cs="Arial"/>
          <w:kern w:val="3"/>
          <w:lang w:val="es-ES" w:eastAsia="zh-CN"/>
        </w:rPr>
        <w:t xml:space="preserve"> ejecutó con Fondos Corrientes la suma ¢1.913.15 millones, y ¢191.79 millones con Fondos Específicos (no se incluyen en el presupuesto por tratarse de pagos directos del préstamo), el presupuesto estimado en Fondos Corrientes para este período es de ¢3.136.18 millones. Al mes de diciembre la Unidad Ejecutora KFW II presenta una ejecución de un 67%. </w:t>
      </w:r>
    </w:p>
    <w:p w14:paraId="3B831D1D" w14:textId="77777777" w:rsidR="001E6AD2" w:rsidRPr="001E6AD2" w:rsidRDefault="001E6AD2" w:rsidP="001E6AD2">
      <w:pPr>
        <w:widowControl w:val="0"/>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p>
    <w:p w14:paraId="3000AA84" w14:textId="77777777" w:rsidR="001E6AD2" w:rsidRPr="001E6AD2" w:rsidRDefault="001E6AD2" w:rsidP="00594CE1">
      <w:pPr>
        <w:pStyle w:val="Prrafodelista"/>
        <w:widowControl w:val="0"/>
        <w:numPr>
          <w:ilvl w:val="0"/>
          <w:numId w:val="38"/>
        </w:numPr>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r>
        <w:rPr>
          <w:rFonts w:ascii="Arial" w:eastAsia="Times New Roman" w:hAnsi="Arial" w:cs="Arial"/>
          <w:kern w:val="3"/>
          <w:lang w:val="es-ES" w:eastAsia="zh-CN"/>
        </w:rPr>
        <w:t xml:space="preserve">La </w:t>
      </w:r>
      <w:r w:rsidRPr="001E6AD2">
        <w:rPr>
          <w:rFonts w:ascii="Arial" w:eastAsia="Times New Roman" w:hAnsi="Arial" w:cs="Arial"/>
          <w:b/>
          <w:kern w:val="3"/>
          <w:lang w:val="es-ES" w:eastAsia="zh-CN"/>
        </w:rPr>
        <w:t>Unidad Ejecutora BCIE 1725</w:t>
      </w:r>
      <w:r>
        <w:rPr>
          <w:rFonts w:ascii="Arial" w:eastAsia="Times New Roman" w:hAnsi="Arial" w:cs="Arial"/>
          <w:kern w:val="3"/>
          <w:lang w:val="es-ES" w:eastAsia="zh-CN"/>
        </w:rPr>
        <w:t xml:space="preserve"> e</w:t>
      </w:r>
      <w:r w:rsidRPr="001E6AD2">
        <w:rPr>
          <w:rFonts w:ascii="Arial" w:eastAsia="Times New Roman" w:hAnsi="Arial" w:cs="Arial"/>
          <w:kern w:val="3"/>
          <w:lang w:val="es-ES" w:eastAsia="zh-CN"/>
        </w:rPr>
        <w:t xml:space="preserve">l presupuesto estimado al mes de diciembre de este programa es de ¢13.774.01 millones; de los cuales con fondos del préstamo ejecutó ¢4.463.21 millones y ¢3.709.65 millones con Fondos de Contrapartida, alcanzando una ejecución total de ¢8.172.86 millones (59%). </w:t>
      </w:r>
    </w:p>
    <w:p w14:paraId="249A60A6" w14:textId="77777777" w:rsidR="001E6AD2" w:rsidRPr="001E6AD2" w:rsidRDefault="001E6AD2" w:rsidP="001E6AD2">
      <w:pPr>
        <w:pStyle w:val="Prrafodelista"/>
        <w:widowControl w:val="0"/>
        <w:tabs>
          <w:tab w:val="left" w:pos="284"/>
          <w:tab w:val="left" w:pos="5280"/>
        </w:tabs>
        <w:suppressAutoHyphens/>
        <w:autoSpaceDN w:val="0"/>
        <w:spacing w:before="0" w:beforeAutospacing="0" w:after="0" w:afterAutospacing="0" w:line="240" w:lineRule="auto"/>
        <w:ind w:left="927" w:right="425"/>
        <w:textAlignment w:val="baseline"/>
        <w:rPr>
          <w:rFonts w:ascii="Arial" w:eastAsia="Times New Roman" w:hAnsi="Arial" w:cs="Arial"/>
          <w:kern w:val="3"/>
          <w:lang w:val="es-ES" w:eastAsia="zh-CN"/>
        </w:rPr>
      </w:pPr>
    </w:p>
    <w:p w14:paraId="517A79D9" w14:textId="77777777" w:rsidR="001E6AD2" w:rsidRPr="001E6AD2" w:rsidRDefault="001E6AD2" w:rsidP="00594CE1">
      <w:pPr>
        <w:pStyle w:val="Prrafodelista"/>
        <w:widowControl w:val="0"/>
        <w:numPr>
          <w:ilvl w:val="0"/>
          <w:numId w:val="38"/>
        </w:numPr>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r>
        <w:rPr>
          <w:rFonts w:ascii="Arial" w:eastAsia="Times New Roman" w:hAnsi="Arial" w:cs="Arial"/>
          <w:kern w:val="3"/>
          <w:lang w:val="es-ES" w:eastAsia="zh-CN"/>
        </w:rPr>
        <w:t xml:space="preserve">La </w:t>
      </w:r>
      <w:r w:rsidRPr="001E6AD2">
        <w:rPr>
          <w:rFonts w:ascii="Arial" w:eastAsia="Times New Roman" w:hAnsi="Arial" w:cs="Arial"/>
          <w:b/>
          <w:kern w:val="3"/>
          <w:lang w:val="es-ES" w:eastAsia="zh-CN"/>
        </w:rPr>
        <w:t>Unidad Ejecutora RANC/BCIE 2129</w:t>
      </w:r>
      <w:r>
        <w:rPr>
          <w:rFonts w:ascii="Arial" w:eastAsia="Times New Roman" w:hAnsi="Arial" w:cs="Arial"/>
          <w:kern w:val="3"/>
          <w:lang w:val="es-ES" w:eastAsia="zh-CN"/>
        </w:rPr>
        <w:t xml:space="preserve"> e</w:t>
      </w:r>
      <w:r w:rsidRPr="001E6AD2">
        <w:rPr>
          <w:rFonts w:ascii="Arial" w:eastAsia="Times New Roman" w:hAnsi="Arial" w:cs="Arial"/>
          <w:kern w:val="3"/>
          <w:lang w:val="es-ES" w:eastAsia="zh-CN"/>
        </w:rPr>
        <w:t>l presupuesto estimado al mes de diciembre para este programa es de ¢4.164.63 millones, de los cuales se ejecutó la suma ¢950.71 millones con Fondos de Contrapartida, para un 23% del monto estimado.</w:t>
      </w:r>
    </w:p>
    <w:p w14:paraId="62A166DA" w14:textId="77777777" w:rsidR="001E6AD2" w:rsidRPr="001E6AD2" w:rsidRDefault="001E6AD2" w:rsidP="001E6AD2">
      <w:pPr>
        <w:widowControl w:val="0"/>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p>
    <w:p w14:paraId="64F39E0C" w14:textId="77777777" w:rsidR="001E6AD2" w:rsidRPr="001E6AD2" w:rsidRDefault="001E6AD2" w:rsidP="00594CE1">
      <w:pPr>
        <w:pStyle w:val="Prrafodelista"/>
        <w:widowControl w:val="0"/>
        <w:numPr>
          <w:ilvl w:val="0"/>
          <w:numId w:val="38"/>
        </w:numPr>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r>
        <w:rPr>
          <w:rFonts w:ascii="Arial" w:eastAsia="Times New Roman" w:hAnsi="Arial" w:cs="Arial"/>
          <w:kern w:val="3"/>
          <w:lang w:val="es-ES" w:eastAsia="zh-CN"/>
        </w:rPr>
        <w:t xml:space="preserve">La </w:t>
      </w:r>
      <w:r w:rsidRPr="001E6AD2">
        <w:rPr>
          <w:rFonts w:ascii="Arial" w:eastAsia="Times New Roman" w:hAnsi="Arial" w:cs="Arial"/>
          <w:b/>
          <w:kern w:val="3"/>
          <w:lang w:val="es-ES" w:eastAsia="zh-CN"/>
        </w:rPr>
        <w:t>Unidad Ejecutora BCIE 2164</w:t>
      </w:r>
      <w:r>
        <w:rPr>
          <w:rFonts w:ascii="Arial" w:eastAsia="Times New Roman" w:hAnsi="Arial" w:cs="Arial"/>
          <w:kern w:val="3"/>
          <w:lang w:val="es-ES" w:eastAsia="zh-CN"/>
        </w:rPr>
        <w:t xml:space="preserve"> e</w:t>
      </w:r>
      <w:r w:rsidRPr="001E6AD2">
        <w:rPr>
          <w:rFonts w:ascii="Arial" w:eastAsia="Times New Roman" w:hAnsi="Arial" w:cs="Arial"/>
          <w:kern w:val="3"/>
          <w:lang w:val="es-ES" w:eastAsia="zh-CN"/>
        </w:rPr>
        <w:t>l presupuesto estimado del mes de diciembre para este programa es de ¢988.46 millones, de los cuales se ejecutó la suma ¢988.46 millones con Fondos de Contrapartida.</w:t>
      </w:r>
    </w:p>
    <w:p w14:paraId="71031EEE" w14:textId="77777777" w:rsidR="001E6AD2" w:rsidRPr="001E6AD2" w:rsidRDefault="001E6AD2" w:rsidP="001E6AD2">
      <w:pPr>
        <w:pStyle w:val="Prrafodelista"/>
        <w:widowControl w:val="0"/>
        <w:tabs>
          <w:tab w:val="left" w:pos="284"/>
          <w:tab w:val="left" w:pos="5280"/>
        </w:tabs>
        <w:suppressAutoHyphens/>
        <w:autoSpaceDN w:val="0"/>
        <w:spacing w:before="0" w:beforeAutospacing="0" w:after="0" w:afterAutospacing="0" w:line="240" w:lineRule="auto"/>
        <w:ind w:left="927" w:right="425"/>
        <w:textAlignment w:val="baseline"/>
        <w:rPr>
          <w:rFonts w:ascii="Arial" w:eastAsia="Times New Roman" w:hAnsi="Arial" w:cs="Arial"/>
          <w:kern w:val="3"/>
          <w:lang w:val="es-ES" w:eastAsia="zh-CN"/>
        </w:rPr>
      </w:pPr>
    </w:p>
    <w:p w14:paraId="1FC671DF" w14:textId="77777777" w:rsidR="001E6AD2" w:rsidRPr="001E6AD2" w:rsidRDefault="001E6AD2" w:rsidP="001E6AD2">
      <w:pPr>
        <w:pStyle w:val="Prrafodelista"/>
        <w:widowControl w:val="0"/>
        <w:tabs>
          <w:tab w:val="left" w:pos="284"/>
          <w:tab w:val="left" w:pos="5280"/>
        </w:tabs>
        <w:suppressAutoHyphens/>
        <w:autoSpaceDN w:val="0"/>
        <w:spacing w:before="0" w:beforeAutospacing="0" w:after="0" w:afterAutospacing="0" w:line="240" w:lineRule="auto"/>
        <w:ind w:left="927" w:right="425"/>
        <w:textAlignment w:val="baseline"/>
        <w:rPr>
          <w:rFonts w:ascii="Arial" w:eastAsia="Times New Roman" w:hAnsi="Arial" w:cs="Arial"/>
          <w:kern w:val="3"/>
          <w:lang w:val="es-ES" w:eastAsia="zh-CN"/>
        </w:rPr>
      </w:pPr>
    </w:p>
    <w:p w14:paraId="1B0B3096" w14:textId="77777777" w:rsidR="001E6AD2" w:rsidRDefault="001E6AD2" w:rsidP="00594CE1">
      <w:pPr>
        <w:pStyle w:val="Prrafodelista"/>
        <w:widowControl w:val="0"/>
        <w:numPr>
          <w:ilvl w:val="0"/>
          <w:numId w:val="38"/>
        </w:numPr>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r>
        <w:rPr>
          <w:rFonts w:ascii="Arial" w:eastAsia="Times New Roman" w:hAnsi="Arial" w:cs="Arial"/>
          <w:kern w:val="3"/>
          <w:lang w:val="es-ES" w:eastAsia="zh-CN"/>
        </w:rPr>
        <w:t xml:space="preserve">El </w:t>
      </w:r>
      <w:r w:rsidRPr="001E6AD2">
        <w:rPr>
          <w:rFonts w:ascii="Arial" w:eastAsia="Times New Roman" w:hAnsi="Arial" w:cs="Arial"/>
          <w:b/>
          <w:kern w:val="3"/>
          <w:lang w:val="es-ES" w:eastAsia="zh-CN"/>
        </w:rPr>
        <w:t>Proyecto Saneamiento Ambiental</w:t>
      </w:r>
      <w:r>
        <w:rPr>
          <w:rFonts w:ascii="Arial" w:eastAsia="Times New Roman" w:hAnsi="Arial" w:cs="Arial"/>
          <w:kern w:val="3"/>
          <w:lang w:val="es-ES" w:eastAsia="zh-CN"/>
        </w:rPr>
        <w:t xml:space="preserve"> r</w:t>
      </w:r>
      <w:r w:rsidRPr="001E6AD2">
        <w:rPr>
          <w:rFonts w:ascii="Arial" w:eastAsia="Times New Roman" w:hAnsi="Arial" w:cs="Arial"/>
          <w:kern w:val="3"/>
          <w:lang w:val="es-ES" w:eastAsia="zh-CN"/>
        </w:rPr>
        <w:t>ealizó una ejecución de ¢6.104.51 millones con fondos del préstamo japonés, ¢3.813.61 millones con fondos del préstamo Banco Nacional-JBIC y ¢3.595.16 millones con fondos de Contrapartida. La ejecución total ¢13.513.28 millones representa un 57% del monto total estimado para este programa (¢23.684.90 millones).</w:t>
      </w:r>
    </w:p>
    <w:p w14:paraId="1753A34A" w14:textId="77777777" w:rsidR="001E6AD2" w:rsidRPr="00325E3B" w:rsidRDefault="001E6AD2" w:rsidP="00325E3B">
      <w:pPr>
        <w:widowControl w:val="0"/>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p>
    <w:p w14:paraId="7EAC1B94" w14:textId="77777777" w:rsidR="001E6AD2" w:rsidRPr="00325E3B" w:rsidRDefault="001E6AD2" w:rsidP="00594CE1">
      <w:pPr>
        <w:pStyle w:val="Prrafodelista"/>
        <w:widowControl w:val="0"/>
        <w:numPr>
          <w:ilvl w:val="0"/>
          <w:numId w:val="38"/>
        </w:numPr>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r w:rsidRPr="001E6AD2">
        <w:rPr>
          <w:rFonts w:ascii="Arial" w:eastAsia="Times New Roman" w:hAnsi="Arial" w:cs="Arial"/>
          <w:kern w:val="3"/>
          <w:lang w:val="es-ES" w:eastAsia="zh-CN"/>
        </w:rPr>
        <w:t xml:space="preserve">El presupuesto del </w:t>
      </w:r>
      <w:r w:rsidRPr="00325E3B">
        <w:rPr>
          <w:rFonts w:ascii="Arial" w:eastAsia="Times New Roman" w:hAnsi="Arial" w:cs="Arial"/>
          <w:b/>
          <w:kern w:val="3"/>
          <w:lang w:val="es-ES" w:eastAsia="zh-CN"/>
        </w:rPr>
        <w:t>Préstamo BID 2493 OC-R</w:t>
      </w:r>
      <w:r w:rsidRPr="001E6AD2">
        <w:rPr>
          <w:rFonts w:ascii="Arial" w:eastAsia="Times New Roman" w:hAnsi="Arial" w:cs="Arial"/>
          <w:kern w:val="3"/>
          <w:lang w:val="es-ES" w:eastAsia="zh-CN"/>
        </w:rPr>
        <w:t xml:space="preserve"> al mes de diciembre asciende a ¢4.917.04 millones y se logró una ejecución total de ¢2.218.37 millones equivalente al 45%</w:t>
      </w:r>
      <w:r w:rsidR="00325E3B">
        <w:rPr>
          <w:rFonts w:ascii="Arial" w:eastAsia="Times New Roman" w:hAnsi="Arial" w:cs="Arial"/>
          <w:kern w:val="3"/>
          <w:lang w:val="es-ES" w:eastAsia="zh-CN"/>
        </w:rPr>
        <w:t>.</w:t>
      </w:r>
    </w:p>
    <w:p w14:paraId="2BAB0AD5" w14:textId="77777777" w:rsidR="001E6AD2" w:rsidRPr="001E6AD2" w:rsidRDefault="001E6AD2" w:rsidP="00325E3B">
      <w:pPr>
        <w:pStyle w:val="Prrafodelista"/>
        <w:widowControl w:val="0"/>
        <w:tabs>
          <w:tab w:val="left" w:pos="284"/>
          <w:tab w:val="left" w:pos="5280"/>
        </w:tabs>
        <w:suppressAutoHyphens/>
        <w:autoSpaceDN w:val="0"/>
        <w:spacing w:before="0" w:beforeAutospacing="0" w:after="0" w:afterAutospacing="0" w:line="240" w:lineRule="auto"/>
        <w:ind w:left="927" w:right="425"/>
        <w:textAlignment w:val="baseline"/>
        <w:rPr>
          <w:rFonts w:ascii="Arial" w:eastAsia="Times New Roman" w:hAnsi="Arial" w:cs="Arial"/>
          <w:kern w:val="3"/>
          <w:lang w:val="es-ES" w:eastAsia="zh-CN"/>
        </w:rPr>
      </w:pPr>
    </w:p>
    <w:p w14:paraId="5BCB4FD7" w14:textId="77777777" w:rsidR="001E6AD2" w:rsidRPr="001E6AD2" w:rsidRDefault="001E6AD2" w:rsidP="00594CE1">
      <w:pPr>
        <w:pStyle w:val="Prrafodelista"/>
        <w:widowControl w:val="0"/>
        <w:numPr>
          <w:ilvl w:val="0"/>
          <w:numId w:val="38"/>
        </w:numPr>
        <w:tabs>
          <w:tab w:val="left" w:pos="284"/>
          <w:tab w:val="left" w:pos="5280"/>
        </w:tabs>
        <w:suppressAutoHyphens/>
        <w:autoSpaceDN w:val="0"/>
        <w:spacing w:before="0" w:beforeAutospacing="0" w:after="0" w:afterAutospacing="0" w:line="240" w:lineRule="auto"/>
        <w:ind w:right="425"/>
        <w:textAlignment w:val="baseline"/>
        <w:rPr>
          <w:rFonts w:ascii="Arial" w:eastAsia="Times New Roman" w:hAnsi="Arial" w:cs="Arial"/>
          <w:kern w:val="3"/>
          <w:lang w:val="es-ES" w:eastAsia="zh-CN"/>
        </w:rPr>
      </w:pPr>
      <w:r w:rsidRPr="001E6AD2">
        <w:rPr>
          <w:rFonts w:ascii="Arial" w:eastAsia="Times New Roman" w:hAnsi="Arial" w:cs="Arial"/>
          <w:kern w:val="3"/>
          <w:lang w:val="es-ES" w:eastAsia="zh-CN"/>
        </w:rPr>
        <w:t>Al mes de diciembre las inversiones correspondientes a obras de acueducto, alcantarillado, hidrantes y otros proyectos financiados con fondos corrientes lograron una ejecución de ¢27.267.22 millones del total de presupuesto asignado al 31 de diciembre (¢43.983.65 millones) que representa un 62%.</w:t>
      </w:r>
    </w:p>
    <w:p w14:paraId="21C2C95E" w14:textId="77777777" w:rsidR="002A7A25" w:rsidRDefault="001F3044" w:rsidP="001F3044">
      <w:pPr>
        <w:pStyle w:val="Standard"/>
        <w:tabs>
          <w:tab w:val="left" w:pos="360"/>
          <w:tab w:val="left" w:pos="720"/>
        </w:tabs>
        <w:jc w:val="right"/>
        <w:rPr>
          <w:rFonts w:ascii="Arial" w:hAnsi="Arial" w:cs="Arial"/>
          <w:sz w:val="22"/>
          <w:szCs w:val="22"/>
        </w:rPr>
      </w:pPr>
      <w:r>
        <w:rPr>
          <w:rFonts w:ascii="Arial" w:hAnsi="Arial" w:cs="Arial"/>
          <w:sz w:val="22"/>
          <w:szCs w:val="22"/>
        </w:rPr>
        <w:t>49</w:t>
      </w:r>
    </w:p>
    <w:p w14:paraId="48B3E1F5" w14:textId="77777777" w:rsidR="00325E3B" w:rsidRDefault="00325E3B" w:rsidP="00325E3B">
      <w:pPr>
        <w:pStyle w:val="Standard"/>
        <w:tabs>
          <w:tab w:val="left" w:pos="360"/>
          <w:tab w:val="left" w:pos="720"/>
        </w:tabs>
        <w:rPr>
          <w:rFonts w:ascii="Arial" w:hAnsi="Arial" w:cs="Arial"/>
          <w:b/>
          <w:sz w:val="22"/>
          <w:szCs w:val="22"/>
        </w:rPr>
      </w:pPr>
    </w:p>
    <w:p w14:paraId="37F0406E" w14:textId="77777777" w:rsidR="002A7A25" w:rsidRDefault="002A7A25" w:rsidP="00D215AE">
      <w:pPr>
        <w:pStyle w:val="Standard"/>
        <w:tabs>
          <w:tab w:val="left" w:pos="360"/>
          <w:tab w:val="left" w:pos="720"/>
        </w:tabs>
        <w:jc w:val="center"/>
        <w:rPr>
          <w:rFonts w:ascii="Arial" w:hAnsi="Arial" w:cs="Arial"/>
          <w:b/>
          <w:sz w:val="22"/>
          <w:szCs w:val="22"/>
        </w:rPr>
      </w:pPr>
    </w:p>
    <w:p w14:paraId="16E4A04B" w14:textId="77777777" w:rsidR="00D215AE" w:rsidRDefault="00D215AE" w:rsidP="00D215AE">
      <w:pPr>
        <w:pStyle w:val="Standard"/>
        <w:tabs>
          <w:tab w:val="left" w:pos="360"/>
          <w:tab w:val="left" w:pos="720"/>
        </w:tabs>
        <w:jc w:val="center"/>
        <w:rPr>
          <w:rFonts w:ascii="Arial" w:hAnsi="Arial" w:cs="Arial"/>
          <w:b/>
          <w:sz w:val="22"/>
          <w:szCs w:val="22"/>
        </w:rPr>
      </w:pPr>
      <w:r>
        <w:rPr>
          <w:rFonts w:ascii="Arial" w:hAnsi="Arial" w:cs="Arial"/>
          <w:b/>
          <w:sz w:val="22"/>
          <w:szCs w:val="22"/>
        </w:rPr>
        <w:t>RECOMENDACIONES</w:t>
      </w:r>
    </w:p>
    <w:p w14:paraId="5BE6190A" w14:textId="77777777" w:rsidR="00D215AE" w:rsidRDefault="00D215AE" w:rsidP="00D215AE">
      <w:pPr>
        <w:pStyle w:val="Standard"/>
        <w:tabs>
          <w:tab w:val="left" w:pos="360"/>
          <w:tab w:val="left" w:pos="720"/>
        </w:tabs>
        <w:jc w:val="center"/>
        <w:rPr>
          <w:rFonts w:ascii="Arial" w:hAnsi="Arial" w:cs="Arial"/>
          <w:b/>
          <w:sz w:val="22"/>
          <w:szCs w:val="22"/>
        </w:rPr>
      </w:pPr>
    </w:p>
    <w:p w14:paraId="255B6C87" w14:textId="77777777" w:rsidR="00D215AE" w:rsidRDefault="00D215AE" w:rsidP="00D215AE">
      <w:pPr>
        <w:pStyle w:val="Standard"/>
        <w:spacing w:line="200" w:lineRule="atLeast"/>
        <w:jc w:val="both"/>
        <w:rPr>
          <w:rFonts w:ascii="Arial" w:hAnsi="Arial" w:cs="Arial"/>
          <w:sz w:val="22"/>
          <w:szCs w:val="22"/>
        </w:rPr>
      </w:pPr>
      <w:r>
        <w:rPr>
          <w:rFonts w:ascii="Arial" w:hAnsi="Arial" w:cs="Arial"/>
          <w:sz w:val="22"/>
          <w:szCs w:val="22"/>
        </w:rPr>
        <w:t>Continuar con la revisión exhaustiva del cumplimiento del programa de inversiones con base en los procedimientos de contratación tramitados a través de la Dirección de Proveeduría, vale resaltar que se encuentra en proceso la implementación del Sistema para programación, control y seguimiento de ejecución de proyectos (Server Project) el cual facilitará aún más esta labor y permitirá el seguimiento físico y financiero de cada proyecto.</w:t>
      </w:r>
    </w:p>
    <w:p w14:paraId="3F5F2CFE" w14:textId="77777777" w:rsidR="00D215AE" w:rsidRDefault="00D215AE" w:rsidP="00D215AE">
      <w:pPr>
        <w:pStyle w:val="Standard"/>
        <w:spacing w:line="200" w:lineRule="atLeast"/>
        <w:jc w:val="both"/>
        <w:rPr>
          <w:rFonts w:ascii="Arial" w:hAnsi="Arial" w:cs="Arial"/>
          <w:sz w:val="22"/>
          <w:szCs w:val="22"/>
        </w:rPr>
      </w:pPr>
    </w:p>
    <w:p w14:paraId="414DDDB9" w14:textId="77777777" w:rsidR="00D215AE" w:rsidRDefault="00D215AE" w:rsidP="00D215AE">
      <w:pPr>
        <w:pStyle w:val="Standard"/>
        <w:spacing w:line="200" w:lineRule="atLeast"/>
        <w:jc w:val="both"/>
        <w:rPr>
          <w:rFonts w:ascii="Arial" w:hAnsi="Arial" w:cs="Arial"/>
          <w:sz w:val="22"/>
          <w:szCs w:val="22"/>
        </w:rPr>
      </w:pPr>
      <w:r>
        <w:rPr>
          <w:rFonts w:ascii="Arial" w:hAnsi="Arial" w:cs="Arial"/>
          <w:sz w:val="22"/>
          <w:szCs w:val="22"/>
        </w:rPr>
        <w:t>Considerar que aparte del resultado propio de la gestión de AyA que usualmente se muestra en el Estado de Resultados, se incorporó las sumas ejecutadas correspondientes a la contrapartida de Asignaciones Familiares, contrapartida K</w:t>
      </w:r>
      <w:r w:rsidR="0034586C">
        <w:rPr>
          <w:rFonts w:ascii="Arial" w:hAnsi="Arial" w:cs="Arial"/>
          <w:sz w:val="22"/>
          <w:szCs w:val="22"/>
        </w:rPr>
        <w:t>FW</w:t>
      </w:r>
      <w:r w:rsidR="00325E3B">
        <w:rPr>
          <w:rFonts w:ascii="Arial" w:hAnsi="Arial" w:cs="Arial"/>
          <w:sz w:val="22"/>
          <w:szCs w:val="22"/>
        </w:rPr>
        <w:t xml:space="preserve"> II y Otros programas por ¢4.227</w:t>
      </w:r>
      <w:r>
        <w:rPr>
          <w:rFonts w:ascii="Arial" w:hAnsi="Arial" w:cs="Arial"/>
          <w:sz w:val="22"/>
          <w:szCs w:val="22"/>
        </w:rPr>
        <w:t xml:space="preserve"> millones. Las sumas correspondientes a estas contrapartidas</w:t>
      </w:r>
      <w:r w:rsidR="0050559D">
        <w:rPr>
          <w:rFonts w:ascii="Arial" w:hAnsi="Arial" w:cs="Arial"/>
          <w:sz w:val="22"/>
          <w:szCs w:val="22"/>
        </w:rPr>
        <w:t>,</w:t>
      </w:r>
      <w:r>
        <w:rPr>
          <w:rFonts w:ascii="Arial" w:hAnsi="Arial" w:cs="Arial"/>
          <w:sz w:val="22"/>
          <w:szCs w:val="22"/>
        </w:rPr>
        <w:t xml:space="preserve"> así como los desembolsos se incluyen en la sección de este estado denominada “TRANSFERENCIAS NO REEMBOLSABLES”.</w:t>
      </w:r>
    </w:p>
    <w:p w14:paraId="633FC6B1" w14:textId="77777777" w:rsidR="00D215AE" w:rsidRDefault="00D215AE" w:rsidP="00D215AE">
      <w:pPr>
        <w:pStyle w:val="Standard"/>
        <w:spacing w:line="200" w:lineRule="atLeast"/>
        <w:jc w:val="both"/>
        <w:rPr>
          <w:rFonts w:ascii="Arial" w:hAnsi="Arial" w:cs="Arial"/>
          <w:sz w:val="22"/>
          <w:szCs w:val="22"/>
        </w:rPr>
      </w:pPr>
    </w:p>
    <w:p w14:paraId="20B64EE4" w14:textId="77777777" w:rsidR="00D215AE" w:rsidRDefault="00D215AE" w:rsidP="00D215AE">
      <w:pPr>
        <w:pStyle w:val="Standard"/>
        <w:spacing w:line="200" w:lineRule="atLeast"/>
        <w:jc w:val="both"/>
        <w:rPr>
          <w:rFonts w:ascii="Arial" w:hAnsi="Arial" w:cs="Arial"/>
          <w:sz w:val="22"/>
          <w:szCs w:val="22"/>
        </w:rPr>
      </w:pPr>
      <w:r>
        <w:rPr>
          <w:rFonts w:ascii="Arial" w:hAnsi="Arial" w:cs="Arial"/>
          <w:sz w:val="22"/>
          <w:szCs w:val="22"/>
        </w:rPr>
        <w:t>Controlar los costos de las Subgerencias Técnicas GAM y Periféricos para definir de acuerdo a la nueva estructura: ¿Cuáles costos se consideran administrativos? y ¿Cuáles costos se consideran operativos?, a efecto de que se equilibre el costeo de ambas subgerencias.</w:t>
      </w:r>
    </w:p>
    <w:p w14:paraId="0CFD4B76" w14:textId="77777777" w:rsidR="00D215AE" w:rsidRDefault="00D215AE" w:rsidP="00D215AE">
      <w:pPr>
        <w:pStyle w:val="Standard"/>
        <w:spacing w:line="200" w:lineRule="atLeast"/>
        <w:jc w:val="both"/>
        <w:rPr>
          <w:rFonts w:ascii="Arial" w:hAnsi="Arial" w:cs="Arial"/>
          <w:sz w:val="22"/>
          <w:szCs w:val="22"/>
        </w:rPr>
      </w:pPr>
    </w:p>
    <w:p w14:paraId="6C449E0B" w14:textId="77777777" w:rsidR="00D215AE" w:rsidRDefault="00D215AE" w:rsidP="00D215AE">
      <w:pPr>
        <w:pStyle w:val="Standard"/>
        <w:spacing w:line="200" w:lineRule="atLeast"/>
        <w:jc w:val="both"/>
        <w:rPr>
          <w:rFonts w:ascii="Arial" w:hAnsi="Arial" w:cs="Arial"/>
          <w:sz w:val="22"/>
          <w:szCs w:val="22"/>
        </w:rPr>
      </w:pPr>
      <w:r>
        <w:rPr>
          <w:rFonts w:ascii="Arial" w:hAnsi="Arial" w:cs="Arial"/>
          <w:sz w:val="22"/>
          <w:szCs w:val="22"/>
        </w:rPr>
        <w:t>Comprobar la asignación de costos de la planilla de acuerdo a la estructura de costos y realizar las correcciones en la planilla en el menor tiempo posible.</w:t>
      </w:r>
    </w:p>
    <w:p w14:paraId="1F700455" w14:textId="77777777" w:rsidR="00D215AE" w:rsidRDefault="00D215AE" w:rsidP="00D215AE">
      <w:pPr>
        <w:pStyle w:val="Standard"/>
        <w:spacing w:line="200" w:lineRule="atLeast"/>
        <w:jc w:val="both"/>
        <w:rPr>
          <w:rFonts w:ascii="Arial" w:hAnsi="Arial" w:cs="Arial"/>
          <w:sz w:val="22"/>
          <w:szCs w:val="22"/>
        </w:rPr>
      </w:pPr>
    </w:p>
    <w:p w14:paraId="2762FFEE" w14:textId="77777777" w:rsidR="00D215AE" w:rsidRDefault="00D215AE" w:rsidP="00D215AE">
      <w:pPr>
        <w:pStyle w:val="Standard"/>
        <w:spacing w:line="200" w:lineRule="atLeast"/>
        <w:jc w:val="both"/>
        <w:rPr>
          <w:rFonts w:ascii="Arial" w:hAnsi="Arial" w:cs="Arial"/>
          <w:sz w:val="22"/>
          <w:szCs w:val="22"/>
        </w:rPr>
      </w:pPr>
      <w:r>
        <w:rPr>
          <w:rFonts w:ascii="Arial" w:hAnsi="Arial" w:cs="Arial"/>
          <w:sz w:val="22"/>
          <w:szCs w:val="22"/>
        </w:rPr>
        <w:t>Revisar la distribución de costos para la actividad de hidrantes lo cual deberá ser considerado por la Administración Superior para posteriores estudios de nuevas tarifas para este servicio</w:t>
      </w:r>
      <w:r w:rsidR="00E01E29">
        <w:rPr>
          <w:rFonts w:ascii="Arial" w:hAnsi="Arial" w:cs="Arial"/>
          <w:sz w:val="22"/>
          <w:szCs w:val="22"/>
        </w:rPr>
        <w:t>.</w:t>
      </w:r>
    </w:p>
    <w:p w14:paraId="1C011924" w14:textId="77777777" w:rsidR="00D215AE" w:rsidRDefault="00D215AE" w:rsidP="00D215AE">
      <w:pPr>
        <w:pStyle w:val="Standard"/>
        <w:jc w:val="both"/>
        <w:rPr>
          <w:rFonts w:ascii="Arial" w:hAnsi="Arial" w:cs="Arial"/>
          <w:sz w:val="22"/>
          <w:szCs w:val="22"/>
        </w:rPr>
      </w:pPr>
    </w:p>
    <w:p w14:paraId="712E3F16" w14:textId="77777777" w:rsidR="00D215AE" w:rsidRDefault="00D215AE" w:rsidP="00D215AE">
      <w:pPr>
        <w:pStyle w:val="Standard"/>
        <w:jc w:val="both"/>
        <w:rPr>
          <w:rFonts w:ascii="Arial" w:hAnsi="Arial" w:cs="Arial"/>
          <w:sz w:val="22"/>
          <w:szCs w:val="22"/>
        </w:rPr>
      </w:pPr>
    </w:p>
    <w:p w14:paraId="16371400" w14:textId="77777777" w:rsidR="00D215AE" w:rsidRDefault="00D215AE" w:rsidP="00D215AE">
      <w:pPr>
        <w:pStyle w:val="Standard"/>
        <w:jc w:val="both"/>
        <w:rPr>
          <w:rFonts w:ascii="Arial" w:hAnsi="Arial" w:cs="Arial"/>
        </w:rPr>
      </w:pPr>
    </w:p>
    <w:p w14:paraId="5A06F1C8" w14:textId="77777777" w:rsidR="00D215AE" w:rsidRDefault="00D215AE" w:rsidP="00D215AE">
      <w:pPr>
        <w:pStyle w:val="Standard"/>
        <w:jc w:val="both"/>
        <w:rPr>
          <w:rFonts w:ascii="Arial" w:hAnsi="Arial" w:cs="Arial"/>
        </w:rPr>
      </w:pPr>
    </w:p>
    <w:p w14:paraId="57765ED2" w14:textId="77777777" w:rsidR="00D215AE" w:rsidRDefault="00D215AE" w:rsidP="00D215AE">
      <w:pPr>
        <w:pStyle w:val="Standard"/>
        <w:jc w:val="center"/>
        <w:rPr>
          <w:rFonts w:ascii="Arial" w:hAnsi="Arial" w:cs="Arial"/>
        </w:rPr>
      </w:pPr>
    </w:p>
    <w:p w14:paraId="73207DF8" w14:textId="77777777" w:rsidR="00D215AE" w:rsidRDefault="00D215AE" w:rsidP="00D215AE">
      <w:pPr>
        <w:pStyle w:val="Standard"/>
        <w:jc w:val="center"/>
        <w:rPr>
          <w:rFonts w:ascii="Arial" w:hAnsi="Arial" w:cs="Arial"/>
        </w:rPr>
      </w:pPr>
    </w:p>
    <w:p w14:paraId="408D9193" w14:textId="77777777" w:rsidR="0050559D" w:rsidRDefault="0050559D" w:rsidP="00D215AE">
      <w:pPr>
        <w:pStyle w:val="Standard"/>
        <w:jc w:val="center"/>
        <w:rPr>
          <w:rFonts w:ascii="Arial" w:hAnsi="Arial" w:cs="Arial"/>
          <w:b/>
          <w:bCs/>
          <w:i/>
          <w:iCs/>
          <w:color w:val="0066CC"/>
          <w:sz w:val="80"/>
          <w:szCs w:val="26"/>
        </w:rPr>
      </w:pPr>
    </w:p>
    <w:p w14:paraId="12167F42" w14:textId="77777777" w:rsidR="002A7A25" w:rsidRDefault="002A7A25" w:rsidP="00FF701D">
      <w:pPr>
        <w:pStyle w:val="Standard"/>
        <w:rPr>
          <w:rFonts w:ascii="Arial" w:hAnsi="Arial" w:cs="Arial"/>
          <w:b/>
          <w:bCs/>
          <w:i/>
          <w:iCs/>
          <w:color w:val="0066CC"/>
          <w:sz w:val="80"/>
          <w:szCs w:val="26"/>
        </w:rPr>
      </w:pPr>
    </w:p>
    <w:p w14:paraId="041CCC10" w14:textId="77777777" w:rsidR="001F3044" w:rsidRDefault="001F3044" w:rsidP="00D215AE">
      <w:pPr>
        <w:pStyle w:val="Standard"/>
        <w:jc w:val="center"/>
        <w:rPr>
          <w:rFonts w:ascii="Arial" w:hAnsi="Arial" w:cs="Arial"/>
          <w:bCs/>
          <w:iCs/>
          <w:sz w:val="22"/>
          <w:szCs w:val="22"/>
        </w:rPr>
      </w:pPr>
    </w:p>
    <w:p w14:paraId="5FCD476B" w14:textId="77777777" w:rsidR="001F3044" w:rsidRDefault="001F3044" w:rsidP="00D215AE">
      <w:pPr>
        <w:pStyle w:val="Standard"/>
        <w:jc w:val="center"/>
        <w:rPr>
          <w:rFonts w:ascii="Arial" w:hAnsi="Arial" w:cs="Arial"/>
          <w:bCs/>
          <w:iCs/>
          <w:sz w:val="22"/>
          <w:szCs w:val="22"/>
        </w:rPr>
      </w:pPr>
    </w:p>
    <w:p w14:paraId="6139CA42" w14:textId="77777777" w:rsidR="001F3044" w:rsidRDefault="001F3044" w:rsidP="00D215AE">
      <w:pPr>
        <w:pStyle w:val="Standard"/>
        <w:jc w:val="center"/>
        <w:rPr>
          <w:rFonts w:ascii="Arial" w:hAnsi="Arial" w:cs="Arial"/>
          <w:bCs/>
          <w:iCs/>
          <w:sz w:val="22"/>
          <w:szCs w:val="22"/>
        </w:rPr>
      </w:pPr>
    </w:p>
    <w:p w14:paraId="01111F85" w14:textId="77777777" w:rsidR="001F3044" w:rsidRDefault="001F3044" w:rsidP="00D215AE">
      <w:pPr>
        <w:pStyle w:val="Standard"/>
        <w:jc w:val="center"/>
        <w:rPr>
          <w:rFonts w:ascii="Arial" w:hAnsi="Arial" w:cs="Arial"/>
          <w:bCs/>
          <w:iCs/>
          <w:sz w:val="22"/>
          <w:szCs w:val="22"/>
        </w:rPr>
      </w:pPr>
    </w:p>
    <w:p w14:paraId="08F2E71E" w14:textId="77777777" w:rsidR="002A7A25" w:rsidRPr="001F3044" w:rsidRDefault="001F3044" w:rsidP="001F3044">
      <w:pPr>
        <w:pStyle w:val="Standard"/>
        <w:jc w:val="right"/>
        <w:rPr>
          <w:rFonts w:ascii="Arial" w:hAnsi="Arial" w:cs="Arial"/>
          <w:bCs/>
          <w:iCs/>
          <w:color w:val="0066CC"/>
          <w:sz w:val="22"/>
          <w:szCs w:val="22"/>
        </w:rPr>
      </w:pPr>
      <w:r w:rsidRPr="001F3044">
        <w:rPr>
          <w:rFonts w:ascii="Arial" w:hAnsi="Arial" w:cs="Arial"/>
          <w:bCs/>
          <w:iCs/>
          <w:sz w:val="22"/>
          <w:szCs w:val="22"/>
        </w:rPr>
        <w:t>50</w:t>
      </w:r>
    </w:p>
    <w:p w14:paraId="69992D68" w14:textId="77777777" w:rsidR="002A7A25" w:rsidRDefault="002A7A25" w:rsidP="00D215AE">
      <w:pPr>
        <w:pStyle w:val="Standard"/>
        <w:jc w:val="center"/>
        <w:rPr>
          <w:rFonts w:ascii="Arial" w:hAnsi="Arial" w:cs="Arial"/>
          <w:b/>
          <w:bCs/>
          <w:i/>
          <w:iCs/>
          <w:color w:val="0066CC"/>
          <w:sz w:val="80"/>
          <w:szCs w:val="26"/>
        </w:rPr>
      </w:pPr>
    </w:p>
    <w:p w14:paraId="346FED60" w14:textId="77777777" w:rsidR="0050559D" w:rsidRPr="0092033B" w:rsidRDefault="0092033B" w:rsidP="00D215AE">
      <w:pPr>
        <w:pStyle w:val="Standard"/>
        <w:jc w:val="center"/>
        <w:rPr>
          <w:rFonts w:ascii="Arial" w:hAnsi="Arial" w:cs="Arial"/>
          <w:b/>
          <w:bCs/>
          <w:i/>
          <w:iCs/>
          <w:color w:val="0066CC"/>
          <w:sz w:val="56"/>
          <w:szCs w:val="56"/>
        </w:rPr>
      </w:pPr>
      <w:r>
        <w:rPr>
          <w:rFonts w:ascii="Arial" w:hAnsi="Arial" w:cs="Arial"/>
          <w:b/>
          <w:bCs/>
          <w:i/>
          <w:iCs/>
          <w:color w:val="0066CC"/>
          <w:sz w:val="56"/>
          <w:szCs w:val="56"/>
        </w:rPr>
        <w:t xml:space="preserve">ANEXOS </w:t>
      </w:r>
      <w:r>
        <w:rPr>
          <w:rFonts w:ascii="Arial" w:hAnsi="Arial" w:cs="Arial"/>
          <w:b/>
          <w:bCs/>
          <w:i/>
          <w:iCs/>
          <w:color w:val="0066CC"/>
          <w:sz w:val="56"/>
          <w:szCs w:val="56"/>
        </w:rPr>
        <w:br/>
      </w:r>
      <w:r>
        <w:rPr>
          <w:rFonts w:ascii="Arial" w:hAnsi="Arial" w:cs="Arial"/>
          <w:b/>
          <w:bCs/>
          <w:i/>
          <w:iCs/>
          <w:color w:val="0066CC"/>
          <w:sz w:val="56"/>
          <w:szCs w:val="56"/>
        </w:rPr>
        <w:br/>
      </w:r>
    </w:p>
    <w:p w14:paraId="44F23DF6" w14:textId="77777777" w:rsidR="0098320D" w:rsidRDefault="00044E9F" w:rsidP="00E01E29">
      <w:pPr>
        <w:pStyle w:val="Standard"/>
        <w:jc w:val="center"/>
        <w:rPr>
          <w:rFonts w:ascii="Arial" w:hAnsi="Arial" w:cs="Arial"/>
          <w:b/>
          <w:bCs/>
          <w:i/>
          <w:iCs/>
          <w:color w:val="0066CC"/>
          <w:sz w:val="56"/>
          <w:szCs w:val="56"/>
        </w:rPr>
      </w:pPr>
      <w:r w:rsidRPr="00044E9F">
        <w:rPr>
          <w:rFonts w:ascii="Arial" w:hAnsi="Arial" w:cs="Arial"/>
          <w:b/>
          <w:bCs/>
          <w:i/>
          <w:iCs/>
          <w:color w:val="0066CC"/>
          <w:sz w:val="56"/>
          <w:szCs w:val="56"/>
        </w:rPr>
        <w:t>ESTADOS FINANCIEROS</w:t>
      </w:r>
    </w:p>
    <w:p w14:paraId="1C3FE827" w14:textId="77777777" w:rsidR="001F3044" w:rsidRDefault="001F3044" w:rsidP="00E01E29">
      <w:pPr>
        <w:pStyle w:val="Standard"/>
        <w:jc w:val="center"/>
        <w:rPr>
          <w:rFonts w:ascii="Arial" w:hAnsi="Arial" w:cs="Arial"/>
          <w:b/>
          <w:bCs/>
          <w:i/>
          <w:iCs/>
          <w:color w:val="0066CC"/>
          <w:sz w:val="56"/>
          <w:szCs w:val="56"/>
        </w:rPr>
      </w:pPr>
    </w:p>
    <w:p w14:paraId="5AB9D537" w14:textId="77777777" w:rsidR="001F3044" w:rsidRDefault="001F3044" w:rsidP="00E01E29">
      <w:pPr>
        <w:pStyle w:val="Standard"/>
        <w:jc w:val="center"/>
        <w:rPr>
          <w:rFonts w:ascii="Arial" w:hAnsi="Arial" w:cs="Arial"/>
          <w:b/>
          <w:bCs/>
          <w:i/>
          <w:iCs/>
          <w:color w:val="0066CC"/>
          <w:sz w:val="56"/>
          <w:szCs w:val="56"/>
        </w:rPr>
      </w:pPr>
    </w:p>
    <w:p w14:paraId="26358FE6" w14:textId="77777777" w:rsidR="001F3044" w:rsidRDefault="001F3044" w:rsidP="00E01E29">
      <w:pPr>
        <w:pStyle w:val="Standard"/>
        <w:jc w:val="center"/>
        <w:rPr>
          <w:rFonts w:ascii="Arial" w:hAnsi="Arial" w:cs="Arial"/>
          <w:b/>
          <w:bCs/>
          <w:i/>
          <w:iCs/>
          <w:color w:val="0066CC"/>
          <w:sz w:val="56"/>
          <w:szCs w:val="56"/>
        </w:rPr>
      </w:pPr>
    </w:p>
    <w:p w14:paraId="6FDE3A20" w14:textId="77777777" w:rsidR="001F3044" w:rsidRDefault="001F3044" w:rsidP="00E01E29">
      <w:pPr>
        <w:pStyle w:val="Standard"/>
        <w:jc w:val="center"/>
        <w:rPr>
          <w:rFonts w:ascii="Arial" w:hAnsi="Arial" w:cs="Arial"/>
          <w:b/>
          <w:bCs/>
          <w:i/>
          <w:iCs/>
          <w:color w:val="0066CC"/>
          <w:sz w:val="56"/>
          <w:szCs w:val="56"/>
        </w:rPr>
      </w:pPr>
    </w:p>
    <w:p w14:paraId="3B68DA15" w14:textId="77777777" w:rsidR="001F3044" w:rsidRDefault="001F3044" w:rsidP="00E01E29">
      <w:pPr>
        <w:pStyle w:val="Standard"/>
        <w:jc w:val="center"/>
        <w:rPr>
          <w:rFonts w:ascii="Arial" w:hAnsi="Arial" w:cs="Arial"/>
          <w:b/>
          <w:bCs/>
          <w:i/>
          <w:iCs/>
          <w:color w:val="0066CC"/>
          <w:sz w:val="56"/>
          <w:szCs w:val="56"/>
        </w:rPr>
      </w:pPr>
    </w:p>
    <w:p w14:paraId="4083263B" w14:textId="77777777" w:rsidR="001F3044" w:rsidRDefault="001F3044" w:rsidP="00E01E29">
      <w:pPr>
        <w:pStyle w:val="Standard"/>
        <w:jc w:val="center"/>
        <w:rPr>
          <w:rFonts w:ascii="Arial" w:hAnsi="Arial" w:cs="Arial"/>
          <w:b/>
          <w:bCs/>
          <w:i/>
          <w:iCs/>
          <w:color w:val="0066CC"/>
          <w:sz w:val="56"/>
          <w:szCs w:val="56"/>
        </w:rPr>
      </w:pPr>
    </w:p>
    <w:p w14:paraId="025E6DAB" w14:textId="77777777" w:rsidR="001F3044" w:rsidRDefault="001F3044" w:rsidP="00E01E29">
      <w:pPr>
        <w:pStyle w:val="Standard"/>
        <w:jc w:val="center"/>
        <w:rPr>
          <w:rFonts w:ascii="Arial" w:hAnsi="Arial" w:cs="Arial"/>
          <w:b/>
          <w:bCs/>
          <w:i/>
          <w:iCs/>
          <w:color w:val="0066CC"/>
          <w:sz w:val="56"/>
          <w:szCs w:val="56"/>
        </w:rPr>
      </w:pPr>
    </w:p>
    <w:p w14:paraId="7BA1F07D" w14:textId="77777777" w:rsidR="001F3044" w:rsidRDefault="001F3044" w:rsidP="00E01E29">
      <w:pPr>
        <w:pStyle w:val="Standard"/>
        <w:jc w:val="center"/>
        <w:rPr>
          <w:rFonts w:ascii="Arial" w:hAnsi="Arial" w:cs="Arial"/>
          <w:b/>
          <w:bCs/>
          <w:i/>
          <w:iCs/>
          <w:color w:val="0066CC"/>
          <w:sz w:val="56"/>
          <w:szCs w:val="56"/>
        </w:rPr>
      </w:pPr>
    </w:p>
    <w:p w14:paraId="0E93F489" w14:textId="77777777" w:rsidR="001F3044" w:rsidRDefault="001F3044" w:rsidP="00E01E29">
      <w:pPr>
        <w:pStyle w:val="Standard"/>
        <w:jc w:val="center"/>
        <w:rPr>
          <w:rFonts w:ascii="Arial" w:hAnsi="Arial" w:cs="Arial"/>
          <w:b/>
          <w:bCs/>
          <w:i/>
          <w:iCs/>
          <w:color w:val="0066CC"/>
          <w:sz w:val="56"/>
          <w:szCs w:val="56"/>
        </w:rPr>
      </w:pPr>
    </w:p>
    <w:p w14:paraId="5D18DF65" w14:textId="77777777" w:rsidR="001F3044" w:rsidRDefault="001F3044" w:rsidP="00E01E29">
      <w:pPr>
        <w:pStyle w:val="Standard"/>
        <w:jc w:val="center"/>
        <w:rPr>
          <w:rFonts w:ascii="Arial" w:hAnsi="Arial" w:cs="Arial"/>
          <w:b/>
          <w:bCs/>
          <w:i/>
          <w:iCs/>
          <w:color w:val="0066CC"/>
          <w:sz w:val="56"/>
          <w:szCs w:val="56"/>
        </w:rPr>
      </w:pPr>
    </w:p>
    <w:p w14:paraId="1E3F054D" w14:textId="77777777" w:rsidR="001F3044" w:rsidRDefault="001F3044" w:rsidP="00E01E29">
      <w:pPr>
        <w:pStyle w:val="Standard"/>
        <w:jc w:val="center"/>
        <w:rPr>
          <w:rFonts w:ascii="Arial" w:hAnsi="Arial" w:cs="Arial"/>
          <w:b/>
          <w:bCs/>
          <w:i/>
          <w:iCs/>
          <w:color w:val="0066CC"/>
          <w:sz w:val="56"/>
          <w:szCs w:val="56"/>
        </w:rPr>
      </w:pPr>
    </w:p>
    <w:p w14:paraId="72BB2C1E" w14:textId="77777777" w:rsidR="001F3044" w:rsidRDefault="001F3044" w:rsidP="00E01E29">
      <w:pPr>
        <w:pStyle w:val="Standard"/>
        <w:jc w:val="center"/>
        <w:rPr>
          <w:rFonts w:ascii="Arial" w:hAnsi="Arial" w:cs="Arial"/>
          <w:b/>
          <w:bCs/>
          <w:i/>
          <w:iCs/>
          <w:color w:val="0066CC"/>
          <w:sz w:val="56"/>
          <w:szCs w:val="56"/>
        </w:rPr>
      </w:pPr>
    </w:p>
    <w:p w14:paraId="1198703D" w14:textId="77777777" w:rsidR="001F3044" w:rsidRDefault="001F3044" w:rsidP="001F3044">
      <w:pPr>
        <w:pStyle w:val="Standard"/>
        <w:jc w:val="right"/>
        <w:rPr>
          <w:rFonts w:ascii="Arial" w:hAnsi="Arial" w:cs="Arial"/>
          <w:bCs/>
          <w:iCs/>
          <w:sz w:val="22"/>
          <w:szCs w:val="22"/>
        </w:rPr>
      </w:pPr>
    </w:p>
    <w:p w14:paraId="20169906" w14:textId="77777777" w:rsidR="001F3044" w:rsidRDefault="001F3044" w:rsidP="001F3044">
      <w:pPr>
        <w:pStyle w:val="Standard"/>
        <w:jc w:val="right"/>
        <w:rPr>
          <w:rFonts w:ascii="Arial" w:hAnsi="Arial" w:cs="Arial"/>
          <w:bCs/>
          <w:iCs/>
          <w:sz w:val="22"/>
          <w:szCs w:val="22"/>
        </w:rPr>
      </w:pPr>
    </w:p>
    <w:p w14:paraId="1DF92BE3" w14:textId="77777777" w:rsidR="001F3044" w:rsidRPr="001F3044" w:rsidRDefault="001F3044" w:rsidP="001F3044">
      <w:pPr>
        <w:pStyle w:val="Standard"/>
        <w:jc w:val="right"/>
        <w:rPr>
          <w:rFonts w:ascii="Arial" w:hAnsi="Arial" w:cs="Arial"/>
          <w:bCs/>
          <w:iCs/>
          <w:sz w:val="22"/>
          <w:szCs w:val="22"/>
        </w:rPr>
      </w:pPr>
      <w:r>
        <w:rPr>
          <w:rFonts w:ascii="Arial" w:hAnsi="Arial" w:cs="Arial"/>
          <w:bCs/>
          <w:iCs/>
          <w:sz w:val="22"/>
          <w:szCs w:val="22"/>
        </w:rPr>
        <w:t>51</w:t>
      </w:r>
    </w:p>
    <w:p w14:paraId="7B15597C" w14:textId="77777777" w:rsidR="001F3044" w:rsidRDefault="001F3044" w:rsidP="00E01E29">
      <w:pPr>
        <w:pStyle w:val="Standard"/>
        <w:jc w:val="center"/>
      </w:pPr>
      <w:r w:rsidRPr="001F3044">
        <w:rPr>
          <w:rFonts w:ascii="Arial" w:hAnsi="Arial" w:cs="Arial"/>
          <w:noProof/>
          <w:sz w:val="22"/>
          <w:szCs w:val="22"/>
          <w:lang w:val="es-CR" w:eastAsia="es-CR"/>
        </w:rPr>
        <w:lastRenderedPageBreak/>
        <w:drawing>
          <wp:anchor distT="0" distB="0" distL="114300" distR="114300" simplePos="0" relativeHeight="251833344" behindDoc="0" locked="0" layoutInCell="1" allowOverlap="1" wp14:anchorId="74E5E89E" wp14:editId="3319E172">
            <wp:simplePos x="0" y="0"/>
            <wp:positionH relativeFrom="margin">
              <wp:align>left</wp:align>
            </wp:positionH>
            <wp:positionV relativeFrom="paragraph">
              <wp:posOffset>60325</wp:posOffset>
            </wp:positionV>
            <wp:extent cx="5227320" cy="726186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7320" cy="7261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16E8D2"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2EECD60"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4E49DD47"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02BABAF2"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50A29AB3"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09159522"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1C06E423"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4F6AE1B0"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52610802"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6F7D2438"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2EE35CF9"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63729432"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3DAC36E7"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12C3159C"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6120C568"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4142086A"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1D4997FC"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2B587158"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B010BCA"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22E47E1"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4887A8C"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32D237C8"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45B2D54A"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8AD455B"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2A4AAD38"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0DE40C3F"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00B68AA2"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5F10FBD"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3BF5A9EA"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5A845CBC"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22E67343"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DE09871"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2C4535B7"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62A8152"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57B030CE"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1D4D3F28"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377C9FB9"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43084CE8"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307B2BCF"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004C81A4"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1216111A"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39ABF7A"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12B099E6"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1C0CCBDF"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31F5F025"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430A95E1" w14:textId="77777777" w:rsidR="0034586C" w:rsidRP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r w:rsidRPr="001F3044">
        <w:rPr>
          <w:rFonts w:ascii="Arial" w:hAnsi="Arial" w:cs="Arial"/>
          <w:sz w:val="22"/>
          <w:szCs w:val="22"/>
        </w:rPr>
        <w:t>52</w:t>
      </w:r>
    </w:p>
    <w:p w14:paraId="0824BBCC" w14:textId="77777777" w:rsidR="0098320D" w:rsidRPr="001F3044" w:rsidRDefault="004C33A1" w:rsidP="001F3044">
      <w:pPr>
        <w:pStyle w:val="Standard"/>
        <w:shd w:val="clear" w:color="auto" w:fill="FFFFFF"/>
        <w:tabs>
          <w:tab w:val="left" w:pos="-195"/>
          <w:tab w:val="left" w:pos="30"/>
        </w:tabs>
        <w:spacing w:line="100" w:lineRule="atLeast"/>
        <w:jc w:val="right"/>
        <w:rPr>
          <w:rFonts w:ascii="Arial" w:hAnsi="Arial" w:cs="Arial"/>
          <w:sz w:val="22"/>
          <w:szCs w:val="22"/>
        </w:rPr>
      </w:pPr>
      <w:r w:rsidRPr="001F3044">
        <w:rPr>
          <w:rFonts w:ascii="Arial" w:hAnsi="Arial" w:cs="Arial"/>
          <w:noProof/>
          <w:sz w:val="22"/>
          <w:szCs w:val="22"/>
          <w:lang w:val="es-CR" w:eastAsia="es-CR"/>
        </w:rPr>
        <w:lastRenderedPageBreak/>
        <w:drawing>
          <wp:anchor distT="0" distB="0" distL="114300" distR="114300" simplePos="0" relativeHeight="251834368" behindDoc="0" locked="0" layoutInCell="1" allowOverlap="1" wp14:anchorId="02EAA98F" wp14:editId="7F778FF0">
            <wp:simplePos x="0" y="0"/>
            <wp:positionH relativeFrom="margin">
              <wp:align>center</wp:align>
            </wp:positionH>
            <wp:positionV relativeFrom="paragraph">
              <wp:posOffset>0</wp:posOffset>
            </wp:positionV>
            <wp:extent cx="5341620" cy="7292340"/>
            <wp:effectExtent l="0" t="0" r="0" b="381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41620" cy="7292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3044" w:rsidRPr="001F3044">
        <w:rPr>
          <w:rFonts w:ascii="Arial" w:hAnsi="Arial" w:cs="Arial"/>
          <w:sz w:val="22"/>
          <w:szCs w:val="22"/>
        </w:rPr>
        <w:t>53</w:t>
      </w:r>
    </w:p>
    <w:p w14:paraId="04453989" w14:textId="77777777" w:rsidR="0098320D" w:rsidRDefault="0098320D" w:rsidP="00696D68">
      <w:pPr>
        <w:pStyle w:val="Standard"/>
        <w:shd w:val="clear" w:color="auto" w:fill="FFFFFF"/>
        <w:tabs>
          <w:tab w:val="left" w:pos="-195"/>
          <w:tab w:val="left" w:pos="30"/>
        </w:tabs>
        <w:spacing w:line="100" w:lineRule="atLeast"/>
        <w:jc w:val="both"/>
      </w:pPr>
    </w:p>
    <w:p w14:paraId="6EBCE7A0" w14:textId="77777777" w:rsidR="0098320D" w:rsidRDefault="0098320D" w:rsidP="00696D68">
      <w:pPr>
        <w:pStyle w:val="Standard"/>
        <w:shd w:val="clear" w:color="auto" w:fill="FFFFFF"/>
        <w:tabs>
          <w:tab w:val="left" w:pos="-195"/>
          <w:tab w:val="left" w:pos="30"/>
        </w:tabs>
        <w:spacing w:line="100" w:lineRule="atLeast"/>
        <w:jc w:val="both"/>
      </w:pPr>
    </w:p>
    <w:p w14:paraId="600EE16E" w14:textId="77777777" w:rsidR="0098320D" w:rsidRDefault="0098320D" w:rsidP="00696D68">
      <w:pPr>
        <w:pStyle w:val="Standard"/>
        <w:shd w:val="clear" w:color="auto" w:fill="FFFFFF"/>
        <w:tabs>
          <w:tab w:val="left" w:pos="-195"/>
          <w:tab w:val="left" w:pos="30"/>
        </w:tabs>
        <w:spacing w:line="100" w:lineRule="atLeast"/>
        <w:jc w:val="both"/>
      </w:pPr>
    </w:p>
    <w:p w14:paraId="35EB1FFD" w14:textId="77777777" w:rsidR="00E01E29" w:rsidRDefault="00E01E29" w:rsidP="00E01E29">
      <w:pPr>
        <w:pStyle w:val="Standard"/>
        <w:shd w:val="clear" w:color="auto" w:fill="FFFFFF"/>
        <w:tabs>
          <w:tab w:val="left" w:pos="-195"/>
          <w:tab w:val="left" w:pos="30"/>
        </w:tabs>
        <w:spacing w:line="100" w:lineRule="atLeast"/>
      </w:pPr>
    </w:p>
    <w:p w14:paraId="1836FD63" w14:textId="77777777" w:rsidR="00E01E29" w:rsidRDefault="00E01E29" w:rsidP="00E01E29">
      <w:pPr>
        <w:pStyle w:val="Standard"/>
        <w:shd w:val="clear" w:color="auto" w:fill="FFFFFF"/>
        <w:tabs>
          <w:tab w:val="left" w:pos="-195"/>
          <w:tab w:val="left" w:pos="30"/>
        </w:tabs>
        <w:spacing w:line="100" w:lineRule="atLeast"/>
      </w:pPr>
    </w:p>
    <w:p w14:paraId="10A37597" w14:textId="77777777" w:rsidR="00E01E29" w:rsidRDefault="00E01E29" w:rsidP="00E01E29">
      <w:pPr>
        <w:pStyle w:val="Standard"/>
        <w:shd w:val="clear" w:color="auto" w:fill="FFFFFF"/>
        <w:tabs>
          <w:tab w:val="left" w:pos="-195"/>
          <w:tab w:val="left" w:pos="30"/>
        </w:tabs>
        <w:spacing w:line="100" w:lineRule="atLeast"/>
      </w:pPr>
    </w:p>
    <w:p w14:paraId="69E2E54A" w14:textId="77777777" w:rsidR="00E01E29" w:rsidRDefault="00E01E29" w:rsidP="00E01E29">
      <w:pPr>
        <w:pStyle w:val="Standard"/>
        <w:shd w:val="clear" w:color="auto" w:fill="FFFFFF"/>
        <w:tabs>
          <w:tab w:val="left" w:pos="-195"/>
          <w:tab w:val="left" w:pos="30"/>
        </w:tabs>
        <w:spacing w:line="100" w:lineRule="atLeast"/>
      </w:pPr>
    </w:p>
    <w:p w14:paraId="40833401" w14:textId="77777777" w:rsidR="004137AA" w:rsidRPr="004B1D84" w:rsidRDefault="004137AA" w:rsidP="00E01E29">
      <w:pPr>
        <w:pStyle w:val="Standard"/>
        <w:shd w:val="clear" w:color="auto" w:fill="FFFFFF"/>
        <w:tabs>
          <w:tab w:val="left" w:pos="-195"/>
          <w:tab w:val="left" w:pos="30"/>
        </w:tabs>
        <w:spacing w:line="100" w:lineRule="atLeast"/>
        <w:jc w:val="center"/>
        <w:rPr>
          <w:sz w:val="56"/>
          <w:szCs w:val="56"/>
        </w:rPr>
      </w:pPr>
      <w:r w:rsidRPr="004137AA">
        <w:rPr>
          <w:rFonts w:ascii="Arial" w:hAnsi="Arial" w:cs="Arial"/>
          <w:b/>
          <w:bCs/>
          <w:i/>
          <w:iCs/>
          <w:color w:val="0066CC"/>
          <w:sz w:val="56"/>
          <w:szCs w:val="56"/>
        </w:rPr>
        <w:t>ESTADO DE FLUJO DE EFECTIVO</w:t>
      </w:r>
    </w:p>
    <w:p w14:paraId="046EE854" w14:textId="77777777" w:rsidR="004137AA" w:rsidRDefault="004137AA" w:rsidP="00696D68">
      <w:pPr>
        <w:pStyle w:val="Standard"/>
        <w:shd w:val="clear" w:color="auto" w:fill="FFFFFF"/>
        <w:tabs>
          <w:tab w:val="left" w:pos="-195"/>
          <w:tab w:val="left" w:pos="30"/>
        </w:tabs>
        <w:spacing w:line="100" w:lineRule="atLeast"/>
        <w:jc w:val="both"/>
      </w:pPr>
    </w:p>
    <w:p w14:paraId="2DD38973" w14:textId="77777777" w:rsidR="004137AA" w:rsidRDefault="004137AA" w:rsidP="00696D68">
      <w:pPr>
        <w:pStyle w:val="Standard"/>
        <w:shd w:val="clear" w:color="auto" w:fill="FFFFFF"/>
        <w:tabs>
          <w:tab w:val="left" w:pos="-195"/>
          <w:tab w:val="left" w:pos="30"/>
        </w:tabs>
        <w:spacing w:line="100" w:lineRule="atLeast"/>
        <w:jc w:val="both"/>
      </w:pPr>
    </w:p>
    <w:p w14:paraId="274CDDB1" w14:textId="77777777" w:rsidR="004137AA" w:rsidRDefault="004137AA" w:rsidP="00696D68">
      <w:pPr>
        <w:pStyle w:val="Standard"/>
        <w:shd w:val="clear" w:color="auto" w:fill="FFFFFF"/>
        <w:tabs>
          <w:tab w:val="left" w:pos="-195"/>
          <w:tab w:val="left" w:pos="30"/>
        </w:tabs>
        <w:spacing w:line="100" w:lineRule="atLeast"/>
        <w:jc w:val="both"/>
      </w:pPr>
    </w:p>
    <w:p w14:paraId="4AE18BC4" w14:textId="77777777" w:rsidR="004137AA" w:rsidRDefault="004137AA" w:rsidP="00696D68">
      <w:pPr>
        <w:pStyle w:val="Standard"/>
        <w:shd w:val="clear" w:color="auto" w:fill="FFFFFF"/>
        <w:tabs>
          <w:tab w:val="left" w:pos="-195"/>
          <w:tab w:val="left" w:pos="30"/>
        </w:tabs>
        <w:spacing w:line="100" w:lineRule="atLeast"/>
        <w:jc w:val="both"/>
      </w:pPr>
    </w:p>
    <w:p w14:paraId="49BBCE72" w14:textId="77777777" w:rsidR="004137AA" w:rsidRDefault="004137AA" w:rsidP="00696D68">
      <w:pPr>
        <w:pStyle w:val="Standard"/>
        <w:shd w:val="clear" w:color="auto" w:fill="FFFFFF"/>
        <w:tabs>
          <w:tab w:val="left" w:pos="-195"/>
          <w:tab w:val="left" w:pos="30"/>
        </w:tabs>
        <w:spacing w:line="100" w:lineRule="atLeast"/>
        <w:jc w:val="both"/>
      </w:pPr>
    </w:p>
    <w:p w14:paraId="44EBC900" w14:textId="77777777" w:rsidR="004137AA" w:rsidRDefault="004137AA" w:rsidP="00696D68">
      <w:pPr>
        <w:pStyle w:val="Standard"/>
        <w:shd w:val="clear" w:color="auto" w:fill="FFFFFF"/>
        <w:tabs>
          <w:tab w:val="left" w:pos="-195"/>
          <w:tab w:val="left" w:pos="30"/>
        </w:tabs>
        <w:spacing w:line="100" w:lineRule="atLeast"/>
        <w:jc w:val="both"/>
      </w:pPr>
    </w:p>
    <w:p w14:paraId="248AD9D2" w14:textId="77777777" w:rsidR="004137AA" w:rsidRDefault="004137AA" w:rsidP="00696D68">
      <w:pPr>
        <w:pStyle w:val="Standard"/>
        <w:shd w:val="clear" w:color="auto" w:fill="FFFFFF"/>
        <w:tabs>
          <w:tab w:val="left" w:pos="-195"/>
          <w:tab w:val="left" w:pos="30"/>
        </w:tabs>
        <w:spacing w:line="100" w:lineRule="atLeast"/>
        <w:jc w:val="both"/>
      </w:pPr>
    </w:p>
    <w:p w14:paraId="7DD31870" w14:textId="77777777" w:rsidR="004137AA" w:rsidRDefault="004137AA" w:rsidP="00696D68">
      <w:pPr>
        <w:pStyle w:val="Standard"/>
        <w:shd w:val="clear" w:color="auto" w:fill="FFFFFF"/>
        <w:tabs>
          <w:tab w:val="left" w:pos="-195"/>
          <w:tab w:val="left" w:pos="30"/>
        </w:tabs>
        <w:spacing w:line="100" w:lineRule="atLeast"/>
        <w:jc w:val="both"/>
      </w:pPr>
    </w:p>
    <w:p w14:paraId="265D8803" w14:textId="77777777" w:rsidR="004137AA" w:rsidRDefault="004137AA" w:rsidP="00696D68">
      <w:pPr>
        <w:pStyle w:val="Standard"/>
        <w:shd w:val="clear" w:color="auto" w:fill="FFFFFF"/>
        <w:tabs>
          <w:tab w:val="left" w:pos="-195"/>
          <w:tab w:val="left" w:pos="30"/>
        </w:tabs>
        <w:spacing w:line="100" w:lineRule="atLeast"/>
        <w:jc w:val="both"/>
      </w:pPr>
    </w:p>
    <w:p w14:paraId="6D37905D" w14:textId="77777777" w:rsidR="004137AA" w:rsidRDefault="004137AA" w:rsidP="00696D68">
      <w:pPr>
        <w:pStyle w:val="Standard"/>
        <w:shd w:val="clear" w:color="auto" w:fill="FFFFFF"/>
        <w:tabs>
          <w:tab w:val="left" w:pos="-195"/>
          <w:tab w:val="left" w:pos="30"/>
        </w:tabs>
        <w:spacing w:line="100" w:lineRule="atLeast"/>
        <w:jc w:val="both"/>
      </w:pPr>
    </w:p>
    <w:p w14:paraId="07AA1F3F" w14:textId="77777777" w:rsidR="004137AA" w:rsidRDefault="004137AA" w:rsidP="00696D68">
      <w:pPr>
        <w:pStyle w:val="Standard"/>
        <w:shd w:val="clear" w:color="auto" w:fill="FFFFFF"/>
        <w:tabs>
          <w:tab w:val="left" w:pos="-195"/>
          <w:tab w:val="left" w:pos="30"/>
        </w:tabs>
        <w:spacing w:line="100" w:lineRule="atLeast"/>
        <w:jc w:val="both"/>
      </w:pPr>
    </w:p>
    <w:p w14:paraId="247D7740" w14:textId="77777777" w:rsidR="004137AA" w:rsidRDefault="004137AA" w:rsidP="00696D68">
      <w:pPr>
        <w:pStyle w:val="Standard"/>
        <w:shd w:val="clear" w:color="auto" w:fill="FFFFFF"/>
        <w:tabs>
          <w:tab w:val="left" w:pos="-195"/>
          <w:tab w:val="left" w:pos="30"/>
        </w:tabs>
        <w:spacing w:line="100" w:lineRule="atLeast"/>
        <w:jc w:val="both"/>
      </w:pPr>
    </w:p>
    <w:p w14:paraId="7C549109" w14:textId="77777777" w:rsidR="004137AA" w:rsidRDefault="004137AA" w:rsidP="00696D68">
      <w:pPr>
        <w:pStyle w:val="Standard"/>
        <w:shd w:val="clear" w:color="auto" w:fill="FFFFFF"/>
        <w:tabs>
          <w:tab w:val="left" w:pos="-195"/>
          <w:tab w:val="left" w:pos="30"/>
        </w:tabs>
        <w:spacing w:line="100" w:lineRule="atLeast"/>
        <w:jc w:val="both"/>
      </w:pPr>
    </w:p>
    <w:p w14:paraId="534D0EB7" w14:textId="77777777" w:rsidR="004137AA" w:rsidRDefault="004137AA" w:rsidP="00696D68">
      <w:pPr>
        <w:pStyle w:val="Standard"/>
        <w:shd w:val="clear" w:color="auto" w:fill="FFFFFF"/>
        <w:tabs>
          <w:tab w:val="left" w:pos="-195"/>
          <w:tab w:val="left" w:pos="30"/>
        </w:tabs>
        <w:spacing w:line="100" w:lineRule="atLeast"/>
        <w:jc w:val="both"/>
      </w:pPr>
    </w:p>
    <w:p w14:paraId="4E3A537A" w14:textId="77777777" w:rsidR="004137AA" w:rsidRDefault="004137AA" w:rsidP="00696D68">
      <w:pPr>
        <w:pStyle w:val="Standard"/>
        <w:shd w:val="clear" w:color="auto" w:fill="FFFFFF"/>
        <w:tabs>
          <w:tab w:val="left" w:pos="-195"/>
          <w:tab w:val="left" w:pos="30"/>
        </w:tabs>
        <w:spacing w:line="100" w:lineRule="atLeast"/>
        <w:jc w:val="both"/>
      </w:pPr>
    </w:p>
    <w:p w14:paraId="2EA156B9" w14:textId="77777777" w:rsidR="004137AA" w:rsidRDefault="004137AA" w:rsidP="00696D68">
      <w:pPr>
        <w:pStyle w:val="Standard"/>
        <w:shd w:val="clear" w:color="auto" w:fill="FFFFFF"/>
        <w:tabs>
          <w:tab w:val="left" w:pos="-195"/>
          <w:tab w:val="left" w:pos="30"/>
        </w:tabs>
        <w:spacing w:line="100" w:lineRule="atLeast"/>
        <w:jc w:val="both"/>
      </w:pPr>
    </w:p>
    <w:p w14:paraId="7E88C428" w14:textId="77777777" w:rsidR="004137AA" w:rsidRDefault="004137AA" w:rsidP="00696D68">
      <w:pPr>
        <w:pStyle w:val="Standard"/>
        <w:shd w:val="clear" w:color="auto" w:fill="FFFFFF"/>
        <w:tabs>
          <w:tab w:val="left" w:pos="-195"/>
          <w:tab w:val="left" w:pos="30"/>
        </w:tabs>
        <w:spacing w:line="100" w:lineRule="atLeast"/>
        <w:jc w:val="both"/>
      </w:pPr>
    </w:p>
    <w:p w14:paraId="5FDA2146" w14:textId="77777777" w:rsidR="004137AA" w:rsidRDefault="004137AA" w:rsidP="00696D68">
      <w:pPr>
        <w:pStyle w:val="Standard"/>
        <w:shd w:val="clear" w:color="auto" w:fill="FFFFFF"/>
        <w:tabs>
          <w:tab w:val="left" w:pos="-195"/>
          <w:tab w:val="left" w:pos="30"/>
        </w:tabs>
        <w:spacing w:line="100" w:lineRule="atLeast"/>
        <w:jc w:val="both"/>
      </w:pPr>
    </w:p>
    <w:p w14:paraId="4E3B6640" w14:textId="77777777" w:rsidR="004137AA" w:rsidRDefault="004137AA" w:rsidP="00696D68">
      <w:pPr>
        <w:pStyle w:val="Standard"/>
        <w:shd w:val="clear" w:color="auto" w:fill="FFFFFF"/>
        <w:tabs>
          <w:tab w:val="left" w:pos="-195"/>
          <w:tab w:val="left" w:pos="30"/>
        </w:tabs>
        <w:spacing w:line="100" w:lineRule="atLeast"/>
        <w:jc w:val="both"/>
      </w:pPr>
    </w:p>
    <w:p w14:paraId="57CE8DB3" w14:textId="77777777" w:rsidR="004137AA" w:rsidRDefault="004137AA" w:rsidP="00696D68">
      <w:pPr>
        <w:pStyle w:val="Standard"/>
        <w:shd w:val="clear" w:color="auto" w:fill="FFFFFF"/>
        <w:tabs>
          <w:tab w:val="left" w:pos="-195"/>
          <w:tab w:val="left" w:pos="30"/>
        </w:tabs>
        <w:spacing w:line="100" w:lineRule="atLeast"/>
        <w:jc w:val="both"/>
      </w:pPr>
    </w:p>
    <w:p w14:paraId="2A1EEDCF" w14:textId="77777777" w:rsidR="004137AA" w:rsidRDefault="004137AA" w:rsidP="00696D68">
      <w:pPr>
        <w:pStyle w:val="Standard"/>
        <w:shd w:val="clear" w:color="auto" w:fill="FFFFFF"/>
        <w:tabs>
          <w:tab w:val="left" w:pos="-195"/>
          <w:tab w:val="left" w:pos="30"/>
        </w:tabs>
        <w:spacing w:line="100" w:lineRule="atLeast"/>
        <w:jc w:val="both"/>
      </w:pPr>
    </w:p>
    <w:p w14:paraId="7F95F99C" w14:textId="77777777" w:rsidR="004137AA" w:rsidRDefault="004137AA" w:rsidP="00696D68">
      <w:pPr>
        <w:pStyle w:val="Standard"/>
        <w:shd w:val="clear" w:color="auto" w:fill="FFFFFF"/>
        <w:tabs>
          <w:tab w:val="left" w:pos="-195"/>
          <w:tab w:val="left" w:pos="30"/>
        </w:tabs>
        <w:spacing w:line="100" w:lineRule="atLeast"/>
        <w:jc w:val="both"/>
      </w:pPr>
    </w:p>
    <w:p w14:paraId="3795C697" w14:textId="77777777" w:rsidR="004137AA" w:rsidRDefault="004137AA" w:rsidP="00696D68">
      <w:pPr>
        <w:pStyle w:val="Standard"/>
        <w:shd w:val="clear" w:color="auto" w:fill="FFFFFF"/>
        <w:tabs>
          <w:tab w:val="left" w:pos="-195"/>
          <w:tab w:val="left" w:pos="30"/>
        </w:tabs>
        <w:spacing w:line="100" w:lineRule="atLeast"/>
        <w:jc w:val="both"/>
      </w:pPr>
    </w:p>
    <w:p w14:paraId="07F05E82" w14:textId="77777777" w:rsidR="004137AA" w:rsidRDefault="004137AA" w:rsidP="00696D68">
      <w:pPr>
        <w:pStyle w:val="Standard"/>
        <w:shd w:val="clear" w:color="auto" w:fill="FFFFFF"/>
        <w:tabs>
          <w:tab w:val="left" w:pos="-195"/>
          <w:tab w:val="left" w:pos="30"/>
        </w:tabs>
        <w:spacing w:line="100" w:lineRule="atLeast"/>
        <w:jc w:val="both"/>
      </w:pPr>
    </w:p>
    <w:p w14:paraId="2B6657ED" w14:textId="77777777" w:rsidR="004137AA" w:rsidRDefault="004137AA" w:rsidP="00696D68">
      <w:pPr>
        <w:pStyle w:val="Standard"/>
        <w:shd w:val="clear" w:color="auto" w:fill="FFFFFF"/>
        <w:tabs>
          <w:tab w:val="left" w:pos="-195"/>
          <w:tab w:val="left" w:pos="30"/>
        </w:tabs>
        <w:spacing w:line="100" w:lineRule="atLeast"/>
        <w:jc w:val="both"/>
      </w:pPr>
    </w:p>
    <w:p w14:paraId="1047E981" w14:textId="77777777" w:rsidR="004137AA" w:rsidRDefault="004137AA" w:rsidP="00696D68">
      <w:pPr>
        <w:pStyle w:val="Standard"/>
        <w:shd w:val="clear" w:color="auto" w:fill="FFFFFF"/>
        <w:tabs>
          <w:tab w:val="left" w:pos="-195"/>
          <w:tab w:val="left" w:pos="30"/>
        </w:tabs>
        <w:spacing w:line="100" w:lineRule="atLeast"/>
        <w:jc w:val="both"/>
      </w:pPr>
    </w:p>
    <w:p w14:paraId="31D5BB80" w14:textId="77777777" w:rsidR="004137AA" w:rsidRDefault="004137AA" w:rsidP="00696D68">
      <w:pPr>
        <w:pStyle w:val="Standard"/>
        <w:shd w:val="clear" w:color="auto" w:fill="FFFFFF"/>
        <w:tabs>
          <w:tab w:val="left" w:pos="-195"/>
          <w:tab w:val="left" w:pos="30"/>
        </w:tabs>
        <w:spacing w:line="100" w:lineRule="atLeast"/>
        <w:jc w:val="both"/>
      </w:pPr>
    </w:p>
    <w:p w14:paraId="6F86FBD5" w14:textId="77777777" w:rsidR="004137AA" w:rsidRDefault="004137AA" w:rsidP="00696D68">
      <w:pPr>
        <w:pStyle w:val="Standard"/>
        <w:shd w:val="clear" w:color="auto" w:fill="FFFFFF"/>
        <w:tabs>
          <w:tab w:val="left" w:pos="-195"/>
          <w:tab w:val="left" w:pos="30"/>
        </w:tabs>
        <w:spacing w:line="100" w:lineRule="atLeast"/>
        <w:jc w:val="both"/>
      </w:pPr>
    </w:p>
    <w:p w14:paraId="28780E85" w14:textId="77777777" w:rsidR="004137AA" w:rsidRDefault="004137AA" w:rsidP="00696D68">
      <w:pPr>
        <w:pStyle w:val="Standard"/>
        <w:shd w:val="clear" w:color="auto" w:fill="FFFFFF"/>
        <w:tabs>
          <w:tab w:val="left" w:pos="-195"/>
          <w:tab w:val="left" w:pos="30"/>
        </w:tabs>
        <w:spacing w:line="100" w:lineRule="atLeast"/>
        <w:jc w:val="both"/>
      </w:pPr>
    </w:p>
    <w:p w14:paraId="20D1CCC6" w14:textId="77777777" w:rsidR="004137AA" w:rsidRDefault="004137AA" w:rsidP="00696D68">
      <w:pPr>
        <w:pStyle w:val="Standard"/>
        <w:shd w:val="clear" w:color="auto" w:fill="FFFFFF"/>
        <w:tabs>
          <w:tab w:val="left" w:pos="-195"/>
          <w:tab w:val="left" w:pos="30"/>
        </w:tabs>
        <w:spacing w:line="100" w:lineRule="atLeast"/>
        <w:jc w:val="both"/>
      </w:pPr>
    </w:p>
    <w:p w14:paraId="2BA99435" w14:textId="77777777" w:rsidR="004137AA" w:rsidRDefault="004137AA" w:rsidP="00696D68">
      <w:pPr>
        <w:pStyle w:val="Standard"/>
        <w:shd w:val="clear" w:color="auto" w:fill="FFFFFF"/>
        <w:tabs>
          <w:tab w:val="left" w:pos="-195"/>
          <w:tab w:val="left" w:pos="30"/>
        </w:tabs>
        <w:spacing w:line="100" w:lineRule="atLeast"/>
        <w:jc w:val="both"/>
      </w:pPr>
    </w:p>
    <w:p w14:paraId="23A78BA6" w14:textId="77777777" w:rsidR="004137AA" w:rsidRP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r w:rsidRPr="001F3044">
        <w:rPr>
          <w:rFonts w:ascii="Arial" w:hAnsi="Arial" w:cs="Arial"/>
          <w:sz w:val="22"/>
          <w:szCs w:val="22"/>
        </w:rPr>
        <w:t>54</w:t>
      </w:r>
    </w:p>
    <w:p w14:paraId="6DA52356" w14:textId="77777777" w:rsidR="004137AA" w:rsidRDefault="004137AA" w:rsidP="00696D68">
      <w:pPr>
        <w:pStyle w:val="Standard"/>
        <w:shd w:val="clear" w:color="auto" w:fill="FFFFFF"/>
        <w:tabs>
          <w:tab w:val="left" w:pos="-195"/>
          <w:tab w:val="left" w:pos="30"/>
        </w:tabs>
        <w:spacing w:line="100" w:lineRule="atLeast"/>
        <w:jc w:val="both"/>
      </w:pPr>
      <w:r w:rsidRPr="004137AA">
        <w:rPr>
          <w:noProof/>
          <w:lang w:val="es-CR" w:eastAsia="es-CR"/>
        </w:rPr>
        <w:lastRenderedPageBreak/>
        <w:drawing>
          <wp:anchor distT="0" distB="0" distL="114300" distR="114300" simplePos="0" relativeHeight="251835392" behindDoc="0" locked="0" layoutInCell="1" allowOverlap="1" wp14:anchorId="28D9E4D9" wp14:editId="4A2D3093">
            <wp:simplePos x="0" y="0"/>
            <wp:positionH relativeFrom="margin">
              <wp:posOffset>-394335</wp:posOffset>
            </wp:positionH>
            <wp:positionV relativeFrom="paragraph">
              <wp:posOffset>-174625</wp:posOffset>
            </wp:positionV>
            <wp:extent cx="6485255" cy="7094220"/>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85255" cy="7094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4997BF" w14:textId="77777777" w:rsidR="004137AA" w:rsidRP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r w:rsidRPr="001F3044">
        <w:rPr>
          <w:rFonts w:ascii="Arial" w:hAnsi="Arial" w:cs="Arial"/>
          <w:sz w:val="22"/>
          <w:szCs w:val="22"/>
        </w:rPr>
        <w:t>55</w:t>
      </w:r>
    </w:p>
    <w:p w14:paraId="694F5DD0"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24CEF644"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32CA524A"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16C3B495"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CF3677B"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50D5D218"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35E9B8AA"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Pr>
          <w:rFonts w:ascii="Arial" w:hAnsi="Arial" w:cs="Arial"/>
          <w:b/>
          <w:bCs/>
          <w:i/>
          <w:iCs/>
          <w:color w:val="0066CC"/>
          <w:sz w:val="56"/>
          <w:szCs w:val="56"/>
        </w:rPr>
        <w:t>CAMBIO EN EL CAPITAL CONTABLE</w:t>
      </w:r>
    </w:p>
    <w:p w14:paraId="625E1258"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4DF2A9D6"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716A57D9"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17B90942"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30A4F255"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42F17A0D"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44E41007"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7C47A512"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3949D25" w14:textId="77777777" w:rsidR="004C008E" w:rsidRDefault="004C008E"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575D8D26" w14:textId="77777777" w:rsidR="004C008E" w:rsidRPr="001F3044" w:rsidRDefault="001F3044" w:rsidP="001F3044">
      <w:pPr>
        <w:pStyle w:val="Standard"/>
        <w:shd w:val="clear" w:color="auto" w:fill="FFFFFF"/>
        <w:tabs>
          <w:tab w:val="left" w:pos="-195"/>
          <w:tab w:val="left" w:pos="30"/>
        </w:tabs>
        <w:spacing w:line="100" w:lineRule="atLeast"/>
        <w:jc w:val="right"/>
        <w:rPr>
          <w:rFonts w:ascii="Arial" w:hAnsi="Arial" w:cs="Arial"/>
          <w:bCs/>
          <w:iCs/>
          <w:sz w:val="22"/>
          <w:szCs w:val="22"/>
        </w:rPr>
      </w:pPr>
      <w:r w:rsidRPr="001F3044">
        <w:rPr>
          <w:rFonts w:ascii="Arial" w:hAnsi="Arial" w:cs="Arial"/>
          <w:bCs/>
          <w:iCs/>
          <w:sz w:val="22"/>
          <w:szCs w:val="22"/>
        </w:rPr>
        <w:t>56</w:t>
      </w:r>
    </w:p>
    <w:p w14:paraId="3AFCDC8C" w14:textId="77777777" w:rsidR="004C008E" w:rsidRDefault="003D35A0" w:rsidP="004C008E">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sidRPr="003D35A0">
        <w:rPr>
          <w:noProof/>
          <w:lang w:val="es-CR" w:eastAsia="es-CR"/>
        </w:rPr>
        <w:lastRenderedPageBreak/>
        <w:drawing>
          <wp:anchor distT="0" distB="0" distL="114300" distR="114300" simplePos="0" relativeHeight="251836416" behindDoc="0" locked="0" layoutInCell="1" allowOverlap="1" wp14:anchorId="42AD45C7" wp14:editId="0C5ABCFC">
            <wp:simplePos x="0" y="0"/>
            <wp:positionH relativeFrom="margin">
              <wp:align>left</wp:align>
            </wp:positionH>
            <wp:positionV relativeFrom="paragraph">
              <wp:posOffset>60960</wp:posOffset>
            </wp:positionV>
            <wp:extent cx="5612130" cy="4619680"/>
            <wp:effectExtent l="0" t="0" r="7620" b="952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130" cy="4619680"/>
                    </a:xfrm>
                    <a:prstGeom prst="rect">
                      <a:avLst/>
                    </a:prstGeom>
                    <a:noFill/>
                    <a:ln>
                      <a:noFill/>
                    </a:ln>
                  </pic:spPr>
                </pic:pic>
              </a:graphicData>
            </a:graphic>
          </wp:anchor>
        </w:drawing>
      </w:r>
    </w:p>
    <w:p w14:paraId="11A5B65D" w14:textId="77777777" w:rsidR="004C008E" w:rsidRPr="004B1D84" w:rsidRDefault="004C008E" w:rsidP="004C008E">
      <w:pPr>
        <w:pStyle w:val="Standard"/>
        <w:shd w:val="clear" w:color="auto" w:fill="FFFFFF"/>
        <w:tabs>
          <w:tab w:val="left" w:pos="-195"/>
          <w:tab w:val="left" w:pos="30"/>
        </w:tabs>
        <w:spacing w:line="100" w:lineRule="atLeast"/>
        <w:jc w:val="center"/>
        <w:rPr>
          <w:sz w:val="56"/>
          <w:szCs w:val="56"/>
        </w:rPr>
      </w:pPr>
    </w:p>
    <w:p w14:paraId="1D51B68C" w14:textId="77777777" w:rsidR="004137AA" w:rsidRDefault="004137AA" w:rsidP="00696D68">
      <w:pPr>
        <w:pStyle w:val="Standard"/>
        <w:shd w:val="clear" w:color="auto" w:fill="FFFFFF"/>
        <w:tabs>
          <w:tab w:val="left" w:pos="-195"/>
          <w:tab w:val="left" w:pos="30"/>
        </w:tabs>
        <w:spacing w:line="100" w:lineRule="atLeast"/>
        <w:jc w:val="both"/>
      </w:pPr>
    </w:p>
    <w:p w14:paraId="62D4EB81" w14:textId="77777777" w:rsidR="003D35A0" w:rsidRDefault="003D35A0" w:rsidP="00696D68">
      <w:pPr>
        <w:pStyle w:val="Standard"/>
        <w:shd w:val="clear" w:color="auto" w:fill="FFFFFF"/>
        <w:tabs>
          <w:tab w:val="left" w:pos="-195"/>
          <w:tab w:val="left" w:pos="30"/>
        </w:tabs>
        <w:spacing w:line="100" w:lineRule="atLeast"/>
        <w:jc w:val="both"/>
      </w:pPr>
    </w:p>
    <w:p w14:paraId="1D5B9B1E" w14:textId="77777777" w:rsidR="003D35A0" w:rsidRDefault="003D35A0" w:rsidP="00696D68">
      <w:pPr>
        <w:pStyle w:val="Standard"/>
        <w:shd w:val="clear" w:color="auto" w:fill="FFFFFF"/>
        <w:tabs>
          <w:tab w:val="left" w:pos="-195"/>
          <w:tab w:val="left" w:pos="30"/>
        </w:tabs>
        <w:spacing w:line="100" w:lineRule="atLeast"/>
        <w:jc w:val="both"/>
      </w:pPr>
    </w:p>
    <w:p w14:paraId="5E5A8CE9" w14:textId="77777777" w:rsidR="003D35A0" w:rsidRDefault="003D35A0" w:rsidP="00696D68">
      <w:pPr>
        <w:pStyle w:val="Standard"/>
        <w:shd w:val="clear" w:color="auto" w:fill="FFFFFF"/>
        <w:tabs>
          <w:tab w:val="left" w:pos="-195"/>
          <w:tab w:val="left" w:pos="30"/>
        </w:tabs>
        <w:spacing w:line="100" w:lineRule="atLeast"/>
        <w:jc w:val="both"/>
      </w:pPr>
    </w:p>
    <w:p w14:paraId="52DCBDA1" w14:textId="77777777" w:rsidR="003D35A0" w:rsidRDefault="003D35A0" w:rsidP="00696D68">
      <w:pPr>
        <w:pStyle w:val="Standard"/>
        <w:shd w:val="clear" w:color="auto" w:fill="FFFFFF"/>
        <w:tabs>
          <w:tab w:val="left" w:pos="-195"/>
          <w:tab w:val="left" w:pos="30"/>
        </w:tabs>
        <w:spacing w:line="100" w:lineRule="atLeast"/>
        <w:jc w:val="both"/>
      </w:pPr>
    </w:p>
    <w:p w14:paraId="7963B468" w14:textId="77777777" w:rsidR="003D35A0" w:rsidRDefault="003D35A0" w:rsidP="00696D68">
      <w:pPr>
        <w:pStyle w:val="Standard"/>
        <w:shd w:val="clear" w:color="auto" w:fill="FFFFFF"/>
        <w:tabs>
          <w:tab w:val="left" w:pos="-195"/>
          <w:tab w:val="left" w:pos="30"/>
        </w:tabs>
        <w:spacing w:line="100" w:lineRule="atLeast"/>
        <w:jc w:val="both"/>
      </w:pPr>
    </w:p>
    <w:p w14:paraId="010D01B5" w14:textId="77777777" w:rsidR="003D35A0" w:rsidRDefault="003D35A0" w:rsidP="00696D68">
      <w:pPr>
        <w:pStyle w:val="Standard"/>
        <w:shd w:val="clear" w:color="auto" w:fill="FFFFFF"/>
        <w:tabs>
          <w:tab w:val="left" w:pos="-195"/>
          <w:tab w:val="left" w:pos="30"/>
        </w:tabs>
        <w:spacing w:line="100" w:lineRule="atLeast"/>
        <w:jc w:val="both"/>
      </w:pPr>
    </w:p>
    <w:p w14:paraId="6B071D0C" w14:textId="77777777" w:rsidR="003D35A0" w:rsidRDefault="003D35A0" w:rsidP="00696D68">
      <w:pPr>
        <w:pStyle w:val="Standard"/>
        <w:shd w:val="clear" w:color="auto" w:fill="FFFFFF"/>
        <w:tabs>
          <w:tab w:val="left" w:pos="-195"/>
          <w:tab w:val="left" w:pos="30"/>
        </w:tabs>
        <w:spacing w:line="100" w:lineRule="atLeast"/>
        <w:jc w:val="both"/>
      </w:pPr>
    </w:p>
    <w:p w14:paraId="0AF23A38" w14:textId="77777777" w:rsidR="003D35A0" w:rsidRDefault="003D35A0" w:rsidP="00696D68">
      <w:pPr>
        <w:pStyle w:val="Standard"/>
        <w:shd w:val="clear" w:color="auto" w:fill="FFFFFF"/>
        <w:tabs>
          <w:tab w:val="left" w:pos="-195"/>
          <w:tab w:val="left" w:pos="30"/>
        </w:tabs>
        <w:spacing w:line="100" w:lineRule="atLeast"/>
        <w:jc w:val="both"/>
      </w:pPr>
    </w:p>
    <w:p w14:paraId="09B021BB" w14:textId="77777777" w:rsidR="003D35A0" w:rsidRDefault="003D35A0" w:rsidP="00696D68">
      <w:pPr>
        <w:pStyle w:val="Standard"/>
        <w:shd w:val="clear" w:color="auto" w:fill="FFFFFF"/>
        <w:tabs>
          <w:tab w:val="left" w:pos="-195"/>
          <w:tab w:val="left" w:pos="30"/>
        </w:tabs>
        <w:spacing w:line="100" w:lineRule="atLeast"/>
        <w:jc w:val="both"/>
      </w:pPr>
    </w:p>
    <w:p w14:paraId="450ABCEE" w14:textId="77777777" w:rsidR="003D35A0" w:rsidRDefault="003D35A0" w:rsidP="00696D68">
      <w:pPr>
        <w:pStyle w:val="Standard"/>
        <w:shd w:val="clear" w:color="auto" w:fill="FFFFFF"/>
        <w:tabs>
          <w:tab w:val="left" w:pos="-195"/>
          <w:tab w:val="left" w:pos="30"/>
        </w:tabs>
        <w:spacing w:line="100" w:lineRule="atLeast"/>
        <w:jc w:val="both"/>
      </w:pPr>
    </w:p>
    <w:p w14:paraId="47FEC091" w14:textId="77777777" w:rsidR="003D35A0" w:rsidRP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r w:rsidRPr="001F3044">
        <w:rPr>
          <w:rFonts w:ascii="Arial" w:hAnsi="Arial" w:cs="Arial"/>
          <w:sz w:val="22"/>
          <w:szCs w:val="22"/>
        </w:rPr>
        <w:t>57</w:t>
      </w:r>
    </w:p>
    <w:p w14:paraId="132E46CE" w14:textId="77777777" w:rsidR="009646EC" w:rsidRDefault="009646EC" w:rsidP="003D35A0">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715F154A" w14:textId="77777777" w:rsidR="009646EC" w:rsidRDefault="009646EC" w:rsidP="003D35A0">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7C0AA85" w14:textId="77777777" w:rsidR="009646EC" w:rsidRDefault="009646EC" w:rsidP="003D35A0">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55AAD38" w14:textId="77777777" w:rsidR="009646EC" w:rsidRDefault="009646EC" w:rsidP="003D35A0">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2B435AD" w14:textId="77777777" w:rsidR="003D35A0" w:rsidRDefault="003D35A0" w:rsidP="003D35A0">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Pr>
          <w:rFonts w:ascii="Arial" w:hAnsi="Arial" w:cs="Arial"/>
          <w:b/>
          <w:bCs/>
          <w:i/>
          <w:iCs/>
          <w:color w:val="0066CC"/>
          <w:sz w:val="56"/>
          <w:szCs w:val="56"/>
        </w:rPr>
        <w:t xml:space="preserve">ESTADOS FINANCIEROS COMPARATIVOS </w:t>
      </w:r>
    </w:p>
    <w:p w14:paraId="367C231D" w14:textId="77777777" w:rsidR="009646EC" w:rsidRDefault="009646EC" w:rsidP="003D35A0">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535BCD46" w14:textId="77777777" w:rsidR="009646EC" w:rsidRDefault="00FD4953" w:rsidP="003D35A0">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Pr>
          <w:rFonts w:ascii="Arial" w:hAnsi="Arial" w:cs="Arial"/>
          <w:b/>
          <w:bCs/>
          <w:i/>
          <w:iCs/>
          <w:color w:val="0066CC"/>
          <w:sz w:val="56"/>
          <w:szCs w:val="56"/>
        </w:rPr>
        <w:t>2015 AL 2018</w:t>
      </w:r>
      <w:r w:rsidR="009646EC">
        <w:rPr>
          <w:rFonts w:ascii="Arial" w:hAnsi="Arial" w:cs="Arial"/>
          <w:b/>
          <w:bCs/>
          <w:i/>
          <w:iCs/>
          <w:color w:val="0066CC"/>
          <w:sz w:val="56"/>
          <w:szCs w:val="56"/>
        </w:rPr>
        <w:t xml:space="preserve"> </w:t>
      </w:r>
    </w:p>
    <w:p w14:paraId="03DEEA0C" w14:textId="77777777" w:rsidR="003D35A0" w:rsidRDefault="003D35A0" w:rsidP="00696D68">
      <w:pPr>
        <w:pStyle w:val="Standard"/>
        <w:shd w:val="clear" w:color="auto" w:fill="FFFFFF"/>
        <w:tabs>
          <w:tab w:val="left" w:pos="-195"/>
          <w:tab w:val="left" w:pos="30"/>
        </w:tabs>
        <w:spacing w:line="100" w:lineRule="atLeast"/>
        <w:jc w:val="both"/>
      </w:pPr>
    </w:p>
    <w:p w14:paraId="19C58C41" w14:textId="77777777" w:rsidR="00FD4953" w:rsidRDefault="00FD4953" w:rsidP="00696D68">
      <w:pPr>
        <w:pStyle w:val="Standard"/>
        <w:shd w:val="clear" w:color="auto" w:fill="FFFFFF"/>
        <w:tabs>
          <w:tab w:val="left" w:pos="-195"/>
          <w:tab w:val="left" w:pos="30"/>
        </w:tabs>
        <w:spacing w:line="100" w:lineRule="atLeast"/>
        <w:jc w:val="both"/>
      </w:pPr>
    </w:p>
    <w:p w14:paraId="4AA24E70" w14:textId="77777777" w:rsidR="00FD4953" w:rsidRDefault="00FD4953" w:rsidP="00696D68">
      <w:pPr>
        <w:pStyle w:val="Standard"/>
        <w:shd w:val="clear" w:color="auto" w:fill="FFFFFF"/>
        <w:tabs>
          <w:tab w:val="left" w:pos="-195"/>
          <w:tab w:val="left" w:pos="30"/>
        </w:tabs>
        <w:spacing w:line="100" w:lineRule="atLeast"/>
        <w:jc w:val="both"/>
      </w:pPr>
    </w:p>
    <w:p w14:paraId="4FA7FAB3" w14:textId="77777777" w:rsidR="00FD4953" w:rsidRDefault="00FD4953" w:rsidP="00696D68">
      <w:pPr>
        <w:pStyle w:val="Standard"/>
        <w:shd w:val="clear" w:color="auto" w:fill="FFFFFF"/>
        <w:tabs>
          <w:tab w:val="left" w:pos="-195"/>
          <w:tab w:val="left" w:pos="30"/>
        </w:tabs>
        <w:spacing w:line="100" w:lineRule="atLeast"/>
        <w:jc w:val="both"/>
      </w:pPr>
    </w:p>
    <w:p w14:paraId="7A4980F6" w14:textId="77777777" w:rsidR="00FD4953" w:rsidRDefault="00FD4953" w:rsidP="00696D68">
      <w:pPr>
        <w:pStyle w:val="Standard"/>
        <w:shd w:val="clear" w:color="auto" w:fill="FFFFFF"/>
        <w:tabs>
          <w:tab w:val="left" w:pos="-195"/>
          <w:tab w:val="left" w:pos="30"/>
        </w:tabs>
        <w:spacing w:line="100" w:lineRule="atLeast"/>
        <w:jc w:val="both"/>
      </w:pPr>
    </w:p>
    <w:p w14:paraId="70E558B2" w14:textId="77777777" w:rsidR="00FD4953" w:rsidRDefault="00FD4953" w:rsidP="00696D68">
      <w:pPr>
        <w:pStyle w:val="Standard"/>
        <w:shd w:val="clear" w:color="auto" w:fill="FFFFFF"/>
        <w:tabs>
          <w:tab w:val="left" w:pos="-195"/>
          <w:tab w:val="left" w:pos="30"/>
        </w:tabs>
        <w:spacing w:line="100" w:lineRule="atLeast"/>
        <w:jc w:val="both"/>
      </w:pPr>
    </w:p>
    <w:p w14:paraId="2988A445" w14:textId="77777777" w:rsidR="00FD4953" w:rsidRDefault="00FD4953" w:rsidP="00696D68">
      <w:pPr>
        <w:pStyle w:val="Standard"/>
        <w:shd w:val="clear" w:color="auto" w:fill="FFFFFF"/>
        <w:tabs>
          <w:tab w:val="left" w:pos="-195"/>
          <w:tab w:val="left" w:pos="30"/>
        </w:tabs>
        <w:spacing w:line="100" w:lineRule="atLeast"/>
        <w:jc w:val="both"/>
      </w:pPr>
    </w:p>
    <w:p w14:paraId="7A12AB6D" w14:textId="77777777" w:rsidR="00FD4953" w:rsidRDefault="00FD4953" w:rsidP="00696D68">
      <w:pPr>
        <w:pStyle w:val="Standard"/>
        <w:shd w:val="clear" w:color="auto" w:fill="FFFFFF"/>
        <w:tabs>
          <w:tab w:val="left" w:pos="-195"/>
          <w:tab w:val="left" w:pos="30"/>
        </w:tabs>
        <w:spacing w:line="100" w:lineRule="atLeast"/>
        <w:jc w:val="both"/>
      </w:pPr>
    </w:p>
    <w:p w14:paraId="394775ED" w14:textId="77777777" w:rsidR="00FD4953" w:rsidRDefault="00FD4953" w:rsidP="00696D68">
      <w:pPr>
        <w:pStyle w:val="Standard"/>
        <w:shd w:val="clear" w:color="auto" w:fill="FFFFFF"/>
        <w:tabs>
          <w:tab w:val="left" w:pos="-195"/>
          <w:tab w:val="left" w:pos="30"/>
        </w:tabs>
        <w:spacing w:line="100" w:lineRule="atLeast"/>
        <w:jc w:val="both"/>
      </w:pPr>
    </w:p>
    <w:p w14:paraId="0583CC5C" w14:textId="77777777" w:rsidR="00FD4953" w:rsidRDefault="00FD4953" w:rsidP="00696D68">
      <w:pPr>
        <w:pStyle w:val="Standard"/>
        <w:shd w:val="clear" w:color="auto" w:fill="FFFFFF"/>
        <w:tabs>
          <w:tab w:val="left" w:pos="-195"/>
          <w:tab w:val="left" w:pos="30"/>
        </w:tabs>
        <w:spacing w:line="100" w:lineRule="atLeast"/>
        <w:jc w:val="both"/>
      </w:pPr>
    </w:p>
    <w:p w14:paraId="2C438EEF" w14:textId="77777777" w:rsidR="00FD4953" w:rsidRDefault="00FD4953" w:rsidP="00696D68">
      <w:pPr>
        <w:pStyle w:val="Standard"/>
        <w:shd w:val="clear" w:color="auto" w:fill="FFFFFF"/>
        <w:tabs>
          <w:tab w:val="left" w:pos="-195"/>
          <w:tab w:val="left" w:pos="30"/>
        </w:tabs>
        <w:spacing w:line="100" w:lineRule="atLeast"/>
        <w:jc w:val="both"/>
      </w:pPr>
    </w:p>
    <w:p w14:paraId="36CF326E" w14:textId="77777777" w:rsidR="00FD4953" w:rsidRDefault="00FD4953" w:rsidP="00696D68">
      <w:pPr>
        <w:pStyle w:val="Standard"/>
        <w:shd w:val="clear" w:color="auto" w:fill="FFFFFF"/>
        <w:tabs>
          <w:tab w:val="left" w:pos="-195"/>
          <w:tab w:val="left" w:pos="30"/>
        </w:tabs>
        <w:spacing w:line="100" w:lineRule="atLeast"/>
        <w:jc w:val="both"/>
      </w:pPr>
    </w:p>
    <w:p w14:paraId="45CE6400" w14:textId="77777777" w:rsidR="00FD4953" w:rsidRDefault="00FD4953" w:rsidP="00696D68">
      <w:pPr>
        <w:pStyle w:val="Standard"/>
        <w:shd w:val="clear" w:color="auto" w:fill="FFFFFF"/>
        <w:tabs>
          <w:tab w:val="left" w:pos="-195"/>
          <w:tab w:val="left" w:pos="30"/>
        </w:tabs>
        <w:spacing w:line="100" w:lineRule="atLeast"/>
        <w:jc w:val="both"/>
      </w:pPr>
    </w:p>
    <w:p w14:paraId="19DF3D21" w14:textId="77777777" w:rsidR="00FD4953" w:rsidRDefault="00FD4953" w:rsidP="00696D68">
      <w:pPr>
        <w:pStyle w:val="Standard"/>
        <w:shd w:val="clear" w:color="auto" w:fill="FFFFFF"/>
        <w:tabs>
          <w:tab w:val="left" w:pos="-195"/>
          <w:tab w:val="left" w:pos="30"/>
        </w:tabs>
        <w:spacing w:line="100" w:lineRule="atLeast"/>
        <w:jc w:val="both"/>
      </w:pPr>
    </w:p>
    <w:p w14:paraId="2438C866" w14:textId="77777777" w:rsidR="00FD4953" w:rsidRDefault="00FD4953" w:rsidP="00696D68">
      <w:pPr>
        <w:pStyle w:val="Standard"/>
        <w:shd w:val="clear" w:color="auto" w:fill="FFFFFF"/>
        <w:tabs>
          <w:tab w:val="left" w:pos="-195"/>
          <w:tab w:val="left" w:pos="30"/>
        </w:tabs>
        <w:spacing w:line="100" w:lineRule="atLeast"/>
        <w:jc w:val="both"/>
      </w:pPr>
    </w:p>
    <w:p w14:paraId="316CA761" w14:textId="77777777" w:rsidR="00FD4953" w:rsidRDefault="00FD4953" w:rsidP="00696D68">
      <w:pPr>
        <w:pStyle w:val="Standard"/>
        <w:shd w:val="clear" w:color="auto" w:fill="FFFFFF"/>
        <w:tabs>
          <w:tab w:val="left" w:pos="-195"/>
          <w:tab w:val="left" w:pos="30"/>
        </w:tabs>
        <w:spacing w:line="100" w:lineRule="atLeast"/>
        <w:jc w:val="both"/>
      </w:pPr>
    </w:p>
    <w:p w14:paraId="305E022A" w14:textId="77777777" w:rsidR="00FD4953" w:rsidRDefault="00FD4953" w:rsidP="00696D68">
      <w:pPr>
        <w:pStyle w:val="Standard"/>
        <w:shd w:val="clear" w:color="auto" w:fill="FFFFFF"/>
        <w:tabs>
          <w:tab w:val="left" w:pos="-195"/>
          <w:tab w:val="left" w:pos="30"/>
        </w:tabs>
        <w:spacing w:line="100" w:lineRule="atLeast"/>
        <w:jc w:val="both"/>
      </w:pPr>
    </w:p>
    <w:p w14:paraId="2185DB81" w14:textId="77777777" w:rsidR="00FD4953" w:rsidRDefault="00FD4953" w:rsidP="00696D68">
      <w:pPr>
        <w:pStyle w:val="Standard"/>
        <w:shd w:val="clear" w:color="auto" w:fill="FFFFFF"/>
        <w:tabs>
          <w:tab w:val="left" w:pos="-195"/>
          <w:tab w:val="left" w:pos="30"/>
        </w:tabs>
        <w:spacing w:line="100" w:lineRule="atLeast"/>
        <w:jc w:val="both"/>
      </w:pPr>
    </w:p>
    <w:p w14:paraId="274299F7" w14:textId="77777777" w:rsidR="00FD4953" w:rsidRDefault="00FD4953" w:rsidP="00696D68">
      <w:pPr>
        <w:pStyle w:val="Standard"/>
        <w:shd w:val="clear" w:color="auto" w:fill="FFFFFF"/>
        <w:tabs>
          <w:tab w:val="left" w:pos="-195"/>
          <w:tab w:val="left" w:pos="30"/>
        </w:tabs>
        <w:spacing w:line="100" w:lineRule="atLeast"/>
        <w:jc w:val="both"/>
      </w:pPr>
    </w:p>
    <w:p w14:paraId="411951C0" w14:textId="77777777" w:rsidR="00FD4953" w:rsidRDefault="00FD4953" w:rsidP="00696D68">
      <w:pPr>
        <w:pStyle w:val="Standard"/>
        <w:shd w:val="clear" w:color="auto" w:fill="FFFFFF"/>
        <w:tabs>
          <w:tab w:val="left" w:pos="-195"/>
          <w:tab w:val="left" w:pos="30"/>
        </w:tabs>
        <w:spacing w:line="100" w:lineRule="atLeast"/>
        <w:jc w:val="both"/>
      </w:pPr>
    </w:p>
    <w:p w14:paraId="0362155C" w14:textId="77777777" w:rsidR="00FD4953" w:rsidRDefault="00FD4953" w:rsidP="00696D68">
      <w:pPr>
        <w:pStyle w:val="Standard"/>
        <w:shd w:val="clear" w:color="auto" w:fill="FFFFFF"/>
        <w:tabs>
          <w:tab w:val="left" w:pos="-195"/>
          <w:tab w:val="left" w:pos="30"/>
        </w:tabs>
        <w:spacing w:line="100" w:lineRule="atLeast"/>
        <w:jc w:val="both"/>
      </w:pPr>
    </w:p>
    <w:p w14:paraId="64DA1F65" w14:textId="77777777" w:rsidR="00FD4953" w:rsidRDefault="00FD4953" w:rsidP="00696D68">
      <w:pPr>
        <w:pStyle w:val="Standard"/>
        <w:shd w:val="clear" w:color="auto" w:fill="FFFFFF"/>
        <w:tabs>
          <w:tab w:val="left" w:pos="-195"/>
          <w:tab w:val="left" w:pos="30"/>
        </w:tabs>
        <w:spacing w:line="100" w:lineRule="atLeast"/>
        <w:jc w:val="both"/>
      </w:pPr>
    </w:p>
    <w:p w14:paraId="1EF34FA4"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77431A45" w14:textId="77777777" w:rsid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p>
    <w:p w14:paraId="6453C525" w14:textId="77777777" w:rsidR="00FD4953" w:rsidRP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r w:rsidRPr="001F3044">
        <w:rPr>
          <w:rFonts w:ascii="Arial" w:hAnsi="Arial" w:cs="Arial"/>
          <w:sz w:val="22"/>
          <w:szCs w:val="22"/>
        </w:rPr>
        <w:t>58</w:t>
      </w:r>
    </w:p>
    <w:p w14:paraId="7CBF14D9" w14:textId="77777777" w:rsidR="00FD4953" w:rsidRPr="001F3044" w:rsidRDefault="002C5DAA" w:rsidP="001F3044">
      <w:pPr>
        <w:pStyle w:val="Standard"/>
        <w:shd w:val="clear" w:color="auto" w:fill="FFFFFF"/>
        <w:tabs>
          <w:tab w:val="left" w:pos="-195"/>
          <w:tab w:val="left" w:pos="30"/>
        </w:tabs>
        <w:spacing w:line="100" w:lineRule="atLeast"/>
        <w:jc w:val="right"/>
        <w:rPr>
          <w:rFonts w:ascii="Arial" w:hAnsi="Arial" w:cs="Arial"/>
          <w:sz w:val="22"/>
          <w:szCs w:val="22"/>
        </w:rPr>
      </w:pPr>
      <w:r w:rsidRPr="001F3044">
        <w:rPr>
          <w:rFonts w:ascii="Arial" w:hAnsi="Arial" w:cs="Arial"/>
          <w:noProof/>
          <w:sz w:val="22"/>
          <w:szCs w:val="22"/>
          <w:lang w:val="es-CR" w:eastAsia="es-CR"/>
        </w:rPr>
        <w:lastRenderedPageBreak/>
        <w:drawing>
          <wp:anchor distT="0" distB="0" distL="114300" distR="114300" simplePos="0" relativeHeight="251839488" behindDoc="0" locked="0" layoutInCell="1" allowOverlap="1" wp14:anchorId="1010D349" wp14:editId="708652C9">
            <wp:simplePos x="0" y="0"/>
            <wp:positionH relativeFrom="margin">
              <wp:posOffset>192405</wp:posOffset>
            </wp:positionH>
            <wp:positionV relativeFrom="paragraph">
              <wp:posOffset>0</wp:posOffset>
            </wp:positionV>
            <wp:extent cx="5120640" cy="7221220"/>
            <wp:effectExtent l="0" t="0" r="381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20640" cy="7221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3044" w:rsidRPr="001F3044">
        <w:rPr>
          <w:rFonts w:ascii="Arial" w:hAnsi="Arial" w:cs="Arial"/>
          <w:sz w:val="22"/>
          <w:szCs w:val="22"/>
        </w:rPr>
        <w:t>59</w:t>
      </w:r>
    </w:p>
    <w:p w14:paraId="498FC510" w14:textId="77777777" w:rsidR="00FD4953" w:rsidRDefault="00AB0AF5" w:rsidP="00696D68">
      <w:pPr>
        <w:pStyle w:val="Standard"/>
        <w:shd w:val="clear" w:color="auto" w:fill="FFFFFF"/>
        <w:tabs>
          <w:tab w:val="left" w:pos="-195"/>
          <w:tab w:val="left" w:pos="30"/>
        </w:tabs>
        <w:spacing w:line="100" w:lineRule="atLeast"/>
        <w:jc w:val="both"/>
      </w:pPr>
      <w:r w:rsidRPr="00AB0AF5">
        <w:rPr>
          <w:noProof/>
          <w:lang w:val="es-CR" w:eastAsia="es-CR"/>
        </w:rPr>
        <w:lastRenderedPageBreak/>
        <w:drawing>
          <wp:anchor distT="0" distB="0" distL="114300" distR="114300" simplePos="0" relativeHeight="251840512" behindDoc="0" locked="0" layoutInCell="1" allowOverlap="1" wp14:anchorId="6C22DCDB" wp14:editId="107FB6DF">
            <wp:simplePos x="0" y="0"/>
            <wp:positionH relativeFrom="margin">
              <wp:posOffset>337185</wp:posOffset>
            </wp:positionH>
            <wp:positionV relativeFrom="paragraph">
              <wp:posOffset>0</wp:posOffset>
            </wp:positionV>
            <wp:extent cx="4919345" cy="724662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19345" cy="7246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7D6F2" w14:textId="77777777" w:rsidR="00FD4953" w:rsidRDefault="00FD4953" w:rsidP="00696D68">
      <w:pPr>
        <w:pStyle w:val="Standard"/>
        <w:shd w:val="clear" w:color="auto" w:fill="FFFFFF"/>
        <w:tabs>
          <w:tab w:val="left" w:pos="-195"/>
          <w:tab w:val="left" w:pos="30"/>
        </w:tabs>
        <w:spacing w:line="100" w:lineRule="atLeast"/>
        <w:jc w:val="both"/>
      </w:pPr>
    </w:p>
    <w:p w14:paraId="154DDD7B" w14:textId="77777777" w:rsidR="00FD4953" w:rsidRDefault="00FD4953" w:rsidP="00696D68">
      <w:pPr>
        <w:pStyle w:val="Standard"/>
        <w:shd w:val="clear" w:color="auto" w:fill="FFFFFF"/>
        <w:tabs>
          <w:tab w:val="left" w:pos="-195"/>
          <w:tab w:val="left" w:pos="30"/>
        </w:tabs>
        <w:spacing w:line="100" w:lineRule="atLeast"/>
        <w:jc w:val="both"/>
      </w:pPr>
    </w:p>
    <w:p w14:paraId="673669CF" w14:textId="77777777" w:rsidR="00FD4953" w:rsidRDefault="00FD4953" w:rsidP="00696D68">
      <w:pPr>
        <w:pStyle w:val="Standard"/>
        <w:shd w:val="clear" w:color="auto" w:fill="FFFFFF"/>
        <w:tabs>
          <w:tab w:val="left" w:pos="-195"/>
          <w:tab w:val="left" w:pos="30"/>
        </w:tabs>
        <w:spacing w:line="100" w:lineRule="atLeast"/>
        <w:jc w:val="both"/>
      </w:pPr>
    </w:p>
    <w:p w14:paraId="2D8617E5" w14:textId="77777777" w:rsidR="00FD4953" w:rsidRDefault="00FD4953" w:rsidP="00696D68">
      <w:pPr>
        <w:pStyle w:val="Standard"/>
        <w:shd w:val="clear" w:color="auto" w:fill="FFFFFF"/>
        <w:tabs>
          <w:tab w:val="left" w:pos="-195"/>
          <w:tab w:val="left" w:pos="30"/>
        </w:tabs>
        <w:spacing w:line="100" w:lineRule="atLeast"/>
        <w:jc w:val="both"/>
      </w:pPr>
    </w:p>
    <w:p w14:paraId="0C4F8309" w14:textId="77777777" w:rsidR="00FD4953" w:rsidRDefault="00FD4953" w:rsidP="00696D68">
      <w:pPr>
        <w:pStyle w:val="Standard"/>
        <w:shd w:val="clear" w:color="auto" w:fill="FFFFFF"/>
        <w:tabs>
          <w:tab w:val="left" w:pos="-195"/>
          <w:tab w:val="left" w:pos="30"/>
        </w:tabs>
        <w:spacing w:line="100" w:lineRule="atLeast"/>
        <w:jc w:val="both"/>
      </w:pPr>
    </w:p>
    <w:p w14:paraId="6162B7C0" w14:textId="77777777" w:rsidR="00FD4953" w:rsidRDefault="00FD4953" w:rsidP="00696D68">
      <w:pPr>
        <w:pStyle w:val="Standard"/>
        <w:shd w:val="clear" w:color="auto" w:fill="FFFFFF"/>
        <w:tabs>
          <w:tab w:val="left" w:pos="-195"/>
          <w:tab w:val="left" w:pos="30"/>
        </w:tabs>
        <w:spacing w:line="100" w:lineRule="atLeast"/>
        <w:jc w:val="both"/>
      </w:pPr>
    </w:p>
    <w:p w14:paraId="23302588" w14:textId="77777777" w:rsidR="00FD4953" w:rsidRDefault="00FD4953" w:rsidP="00696D68">
      <w:pPr>
        <w:pStyle w:val="Standard"/>
        <w:shd w:val="clear" w:color="auto" w:fill="FFFFFF"/>
        <w:tabs>
          <w:tab w:val="left" w:pos="-195"/>
          <w:tab w:val="left" w:pos="30"/>
        </w:tabs>
        <w:spacing w:line="100" w:lineRule="atLeast"/>
        <w:jc w:val="both"/>
      </w:pPr>
    </w:p>
    <w:p w14:paraId="091C91A6" w14:textId="77777777" w:rsidR="00FD4953" w:rsidRDefault="00FD4953" w:rsidP="00696D68">
      <w:pPr>
        <w:pStyle w:val="Standard"/>
        <w:shd w:val="clear" w:color="auto" w:fill="FFFFFF"/>
        <w:tabs>
          <w:tab w:val="left" w:pos="-195"/>
          <w:tab w:val="left" w:pos="30"/>
        </w:tabs>
        <w:spacing w:line="100" w:lineRule="atLeast"/>
        <w:jc w:val="both"/>
      </w:pPr>
    </w:p>
    <w:p w14:paraId="280C4C79" w14:textId="77777777" w:rsidR="00FD4953" w:rsidRDefault="00FD4953" w:rsidP="00696D68">
      <w:pPr>
        <w:pStyle w:val="Standard"/>
        <w:shd w:val="clear" w:color="auto" w:fill="FFFFFF"/>
        <w:tabs>
          <w:tab w:val="left" w:pos="-195"/>
          <w:tab w:val="left" w:pos="30"/>
        </w:tabs>
        <w:spacing w:line="100" w:lineRule="atLeast"/>
        <w:jc w:val="both"/>
      </w:pPr>
    </w:p>
    <w:p w14:paraId="7ADE7626" w14:textId="77777777" w:rsidR="00FD4953" w:rsidRDefault="00FD4953" w:rsidP="00696D68">
      <w:pPr>
        <w:pStyle w:val="Standard"/>
        <w:shd w:val="clear" w:color="auto" w:fill="FFFFFF"/>
        <w:tabs>
          <w:tab w:val="left" w:pos="-195"/>
          <w:tab w:val="left" w:pos="30"/>
        </w:tabs>
        <w:spacing w:line="100" w:lineRule="atLeast"/>
        <w:jc w:val="both"/>
      </w:pPr>
    </w:p>
    <w:p w14:paraId="436798D9" w14:textId="77777777" w:rsidR="00FD4953" w:rsidRDefault="00FD4953" w:rsidP="00696D68">
      <w:pPr>
        <w:pStyle w:val="Standard"/>
        <w:shd w:val="clear" w:color="auto" w:fill="FFFFFF"/>
        <w:tabs>
          <w:tab w:val="left" w:pos="-195"/>
          <w:tab w:val="left" w:pos="30"/>
        </w:tabs>
        <w:spacing w:line="100" w:lineRule="atLeast"/>
        <w:jc w:val="both"/>
      </w:pPr>
    </w:p>
    <w:p w14:paraId="785F9F36" w14:textId="77777777" w:rsidR="00FD4953" w:rsidRDefault="00FD4953" w:rsidP="00696D68">
      <w:pPr>
        <w:pStyle w:val="Standard"/>
        <w:shd w:val="clear" w:color="auto" w:fill="FFFFFF"/>
        <w:tabs>
          <w:tab w:val="left" w:pos="-195"/>
          <w:tab w:val="left" w:pos="30"/>
        </w:tabs>
        <w:spacing w:line="100" w:lineRule="atLeast"/>
        <w:jc w:val="both"/>
      </w:pPr>
    </w:p>
    <w:p w14:paraId="076BC76B" w14:textId="77777777" w:rsidR="00FD4953" w:rsidRDefault="00FD4953" w:rsidP="00696D68">
      <w:pPr>
        <w:pStyle w:val="Standard"/>
        <w:shd w:val="clear" w:color="auto" w:fill="FFFFFF"/>
        <w:tabs>
          <w:tab w:val="left" w:pos="-195"/>
          <w:tab w:val="left" w:pos="30"/>
        </w:tabs>
        <w:spacing w:line="100" w:lineRule="atLeast"/>
        <w:jc w:val="both"/>
      </w:pPr>
    </w:p>
    <w:p w14:paraId="4CCDFD75" w14:textId="77777777" w:rsidR="00FD4953" w:rsidRDefault="00FD4953" w:rsidP="00696D68">
      <w:pPr>
        <w:pStyle w:val="Standard"/>
        <w:shd w:val="clear" w:color="auto" w:fill="FFFFFF"/>
        <w:tabs>
          <w:tab w:val="left" w:pos="-195"/>
          <w:tab w:val="left" w:pos="30"/>
        </w:tabs>
        <w:spacing w:line="100" w:lineRule="atLeast"/>
        <w:jc w:val="both"/>
      </w:pPr>
    </w:p>
    <w:p w14:paraId="15814414" w14:textId="77777777" w:rsidR="00FD4953" w:rsidRDefault="00FD4953" w:rsidP="00696D68">
      <w:pPr>
        <w:pStyle w:val="Standard"/>
        <w:shd w:val="clear" w:color="auto" w:fill="FFFFFF"/>
        <w:tabs>
          <w:tab w:val="left" w:pos="-195"/>
          <w:tab w:val="left" w:pos="30"/>
        </w:tabs>
        <w:spacing w:line="100" w:lineRule="atLeast"/>
        <w:jc w:val="both"/>
      </w:pPr>
    </w:p>
    <w:p w14:paraId="1B1D6D30" w14:textId="77777777" w:rsidR="00FD4953" w:rsidRDefault="00FD4953" w:rsidP="00696D68">
      <w:pPr>
        <w:pStyle w:val="Standard"/>
        <w:shd w:val="clear" w:color="auto" w:fill="FFFFFF"/>
        <w:tabs>
          <w:tab w:val="left" w:pos="-195"/>
          <w:tab w:val="left" w:pos="30"/>
        </w:tabs>
        <w:spacing w:line="100" w:lineRule="atLeast"/>
        <w:jc w:val="both"/>
      </w:pPr>
    </w:p>
    <w:p w14:paraId="52F28D93" w14:textId="77777777" w:rsidR="00FD4953" w:rsidRDefault="00FD4953" w:rsidP="00696D68">
      <w:pPr>
        <w:pStyle w:val="Standard"/>
        <w:shd w:val="clear" w:color="auto" w:fill="FFFFFF"/>
        <w:tabs>
          <w:tab w:val="left" w:pos="-195"/>
          <w:tab w:val="left" w:pos="30"/>
        </w:tabs>
        <w:spacing w:line="100" w:lineRule="atLeast"/>
        <w:jc w:val="both"/>
      </w:pPr>
    </w:p>
    <w:p w14:paraId="3E2E10A7" w14:textId="77777777" w:rsidR="00FD4953" w:rsidRDefault="00FD4953" w:rsidP="00696D68">
      <w:pPr>
        <w:pStyle w:val="Standard"/>
        <w:shd w:val="clear" w:color="auto" w:fill="FFFFFF"/>
        <w:tabs>
          <w:tab w:val="left" w:pos="-195"/>
          <w:tab w:val="left" w:pos="30"/>
        </w:tabs>
        <w:spacing w:line="100" w:lineRule="atLeast"/>
        <w:jc w:val="both"/>
      </w:pPr>
    </w:p>
    <w:p w14:paraId="08419EC1" w14:textId="77777777" w:rsidR="00FD4953" w:rsidRDefault="00FD4953" w:rsidP="00696D68">
      <w:pPr>
        <w:pStyle w:val="Standard"/>
        <w:shd w:val="clear" w:color="auto" w:fill="FFFFFF"/>
        <w:tabs>
          <w:tab w:val="left" w:pos="-195"/>
          <w:tab w:val="left" w:pos="30"/>
        </w:tabs>
        <w:spacing w:line="100" w:lineRule="atLeast"/>
        <w:jc w:val="both"/>
      </w:pPr>
    </w:p>
    <w:p w14:paraId="5873FB8C" w14:textId="77777777" w:rsidR="00FD4953" w:rsidRDefault="00FD4953" w:rsidP="00696D68">
      <w:pPr>
        <w:pStyle w:val="Standard"/>
        <w:shd w:val="clear" w:color="auto" w:fill="FFFFFF"/>
        <w:tabs>
          <w:tab w:val="left" w:pos="-195"/>
          <w:tab w:val="left" w:pos="30"/>
        </w:tabs>
        <w:spacing w:line="100" w:lineRule="atLeast"/>
        <w:jc w:val="both"/>
      </w:pPr>
    </w:p>
    <w:p w14:paraId="748614DB" w14:textId="77777777" w:rsidR="00FD4953" w:rsidRDefault="00FD4953" w:rsidP="00696D68">
      <w:pPr>
        <w:pStyle w:val="Standard"/>
        <w:shd w:val="clear" w:color="auto" w:fill="FFFFFF"/>
        <w:tabs>
          <w:tab w:val="left" w:pos="-195"/>
          <w:tab w:val="left" w:pos="30"/>
        </w:tabs>
        <w:spacing w:line="100" w:lineRule="atLeast"/>
        <w:jc w:val="both"/>
      </w:pPr>
    </w:p>
    <w:p w14:paraId="56DAFE15" w14:textId="77777777" w:rsidR="00FD4953" w:rsidRDefault="00FD4953" w:rsidP="00696D68">
      <w:pPr>
        <w:pStyle w:val="Standard"/>
        <w:shd w:val="clear" w:color="auto" w:fill="FFFFFF"/>
        <w:tabs>
          <w:tab w:val="left" w:pos="-195"/>
          <w:tab w:val="left" w:pos="30"/>
        </w:tabs>
        <w:spacing w:line="100" w:lineRule="atLeast"/>
        <w:jc w:val="both"/>
      </w:pPr>
    </w:p>
    <w:p w14:paraId="2A525475" w14:textId="77777777" w:rsidR="00FD4953" w:rsidRDefault="00FD4953" w:rsidP="00696D68">
      <w:pPr>
        <w:pStyle w:val="Standard"/>
        <w:shd w:val="clear" w:color="auto" w:fill="FFFFFF"/>
        <w:tabs>
          <w:tab w:val="left" w:pos="-195"/>
          <w:tab w:val="left" w:pos="30"/>
        </w:tabs>
        <w:spacing w:line="100" w:lineRule="atLeast"/>
        <w:jc w:val="both"/>
      </w:pPr>
    </w:p>
    <w:p w14:paraId="337EC467" w14:textId="77777777" w:rsidR="00FD4953" w:rsidRDefault="00FD4953" w:rsidP="00696D68">
      <w:pPr>
        <w:pStyle w:val="Standard"/>
        <w:shd w:val="clear" w:color="auto" w:fill="FFFFFF"/>
        <w:tabs>
          <w:tab w:val="left" w:pos="-195"/>
          <w:tab w:val="left" w:pos="30"/>
        </w:tabs>
        <w:spacing w:line="100" w:lineRule="atLeast"/>
        <w:jc w:val="both"/>
      </w:pPr>
    </w:p>
    <w:p w14:paraId="21416A3A" w14:textId="77777777" w:rsidR="00FD4953" w:rsidRDefault="00FD4953" w:rsidP="00696D68">
      <w:pPr>
        <w:pStyle w:val="Standard"/>
        <w:shd w:val="clear" w:color="auto" w:fill="FFFFFF"/>
        <w:tabs>
          <w:tab w:val="left" w:pos="-195"/>
          <w:tab w:val="left" w:pos="30"/>
        </w:tabs>
        <w:spacing w:line="100" w:lineRule="atLeast"/>
        <w:jc w:val="both"/>
      </w:pPr>
    </w:p>
    <w:p w14:paraId="6594FF7F" w14:textId="77777777" w:rsidR="00FD4953" w:rsidRDefault="00FD4953" w:rsidP="00696D68">
      <w:pPr>
        <w:pStyle w:val="Standard"/>
        <w:shd w:val="clear" w:color="auto" w:fill="FFFFFF"/>
        <w:tabs>
          <w:tab w:val="left" w:pos="-195"/>
          <w:tab w:val="left" w:pos="30"/>
        </w:tabs>
        <w:spacing w:line="100" w:lineRule="atLeast"/>
        <w:jc w:val="both"/>
      </w:pPr>
    </w:p>
    <w:p w14:paraId="201A8F78" w14:textId="77777777" w:rsidR="00FD4953" w:rsidRDefault="00FD4953" w:rsidP="00696D68">
      <w:pPr>
        <w:pStyle w:val="Standard"/>
        <w:shd w:val="clear" w:color="auto" w:fill="FFFFFF"/>
        <w:tabs>
          <w:tab w:val="left" w:pos="-195"/>
          <w:tab w:val="left" w:pos="30"/>
        </w:tabs>
        <w:spacing w:line="100" w:lineRule="atLeast"/>
        <w:jc w:val="both"/>
      </w:pPr>
    </w:p>
    <w:p w14:paraId="35FEAA63" w14:textId="77777777" w:rsidR="00FD4953" w:rsidRDefault="00FD4953" w:rsidP="00696D68">
      <w:pPr>
        <w:pStyle w:val="Standard"/>
        <w:shd w:val="clear" w:color="auto" w:fill="FFFFFF"/>
        <w:tabs>
          <w:tab w:val="left" w:pos="-195"/>
          <w:tab w:val="left" w:pos="30"/>
        </w:tabs>
        <w:spacing w:line="100" w:lineRule="atLeast"/>
        <w:jc w:val="both"/>
      </w:pPr>
    </w:p>
    <w:p w14:paraId="05DB6FDC" w14:textId="77777777" w:rsidR="00FD4953" w:rsidRDefault="00FD4953" w:rsidP="00696D68">
      <w:pPr>
        <w:pStyle w:val="Standard"/>
        <w:shd w:val="clear" w:color="auto" w:fill="FFFFFF"/>
        <w:tabs>
          <w:tab w:val="left" w:pos="-195"/>
          <w:tab w:val="left" w:pos="30"/>
        </w:tabs>
        <w:spacing w:line="100" w:lineRule="atLeast"/>
        <w:jc w:val="both"/>
      </w:pPr>
    </w:p>
    <w:p w14:paraId="4E5F00DF" w14:textId="77777777" w:rsidR="00FD4953" w:rsidRDefault="00FD4953" w:rsidP="00696D68">
      <w:pPr>
        <w:pStyle w:val="Standard"/>
        <w:shd w:val="clear" w:color="auto" w:fill="FFFFFF"/>
        <w:tabs>
          <w:tab w:val="left" w:pos="-195"/>
          <w:tab w:val="left" w:pos="30"/>
        </w:tabs>
        <w:spacing w:line="100" w:lineRule="atLeast"/>
        <w:jc w:val="both"/>
      </w:pPr>
    </w:p>
    <w:p w14:paraId="2DB13C76" w14:textId="77777777" w:rsidR="00FD4953" w:rsidRDefault="00FD4953" w:rsidP="00696D68">
      <w:pPr>
        <w:pStyle w:val="Standard"/>
        <w:shd w:val="clear" w:color="auto" w:fill="FFFFFF"/>
        <w:tabs>
          <w:tab w:val="left" w:pos="-195"/>
          <w:tab w:val="left" w:pos="30"/>
        </w:tabs>
        <w:spacing w:line="100" w:lineRule="atLeast"/>
        <w:jc w:val="both"/>
      </w:pPr>
    </w:p>
    <w:p w14:paraId="03693F5B" w14:textId="77777777" w:rsidR="00FD4953" w:rsidRDefault="00FD4953" w:rsidP="00696D68">
      <w:pPr>
        <w:pStyle w:val="Standard"/>
        <w:shd w:val="clear" w:color="auto" w:fill="FFFFFF"/>
        <w:tabs>
          <w:tab w:val="left" w:pos="-195"/>
          <w:tab w:val="left" w:pos="30"/>
        </w:tabs>
        <w:spacing w:line="100" w:lineRule="atLeast"/>
        <w:jc w:val="both"/>
      </w:pPr>
    </w:p>
    <w:p w14:paraId="77B03A48" w14:textId="77777777" w:rsidR="00FD4953" w:rsidRDefault="00FD4953" w:rsidP="00696D68">
      <w:pPr>
        <w:pStyle w:val="Standard"/>
        <w:shd w:val="clear" w:color="auto" w:fill="FFFFFF"/>
        <w:tabs>
          <w:tab w:val="left" w:pos="-195"/>
          <w:tab w:val="left" w:pos="30"/>
        </w:tabs>
        <w:spacing w:line="100" w:lineRule="atLeast"/>
        <w:jc w:val="both"/>
      </w:pPr>
    </w:p>
    <w:p w14:paraId="3EB8CD26" w14:textId="77777777" w:rsidR="00FD4953" w:rsidRDefault="00FD4953" w:rsidP="00696D68">
      <w:pPr>
        <w:pStyle w:val="Standard"/>
        <w:shd w:val="clear" w:color="auto" w:fill="FFFFFF"/>
        <w:tabs>
          <w:tab w:val="left" w:pos="-195"/>
          <w:tab w:val="left" w:pos="30"/>
        </w:tabs>
        <w:spacing w:line="100" w:lineRule="atLeast"/>
        <w:jc w:val="both"/>
      </w:pPr>
    </w:p>
    <w:p w14:paraId="52A30159" w14:textId="77777777" w:rsidR="00FD4953" w:rsidRDefault="00FD4953" w:rsidP="00696D68">
      <w:pPr>
        <w:pStyle w:val="Standard"/>
        <w:shd w:val="clear" w:color="auto" w:fill="FFFFFF"/>
        <w:tabs>
          <w:tab w:val="left" w:pos="-195"/>
          <w:tab w:val="left" w:pos="30"/>
        </w:tabs>
        <w:spacing w:line="100" w:lineRule="atLeast"/>
        <w:jc w:val="both"/>
      </w:pPr>
    </w:p>
    <w:p w14:paraId="5277854E" w14:textId="77777777" w:rsidR="00FD4953" w:rsidRDefault="00FD4953" w:rsidP="00696D68">
      <w:pPr>
        <w:pStyle w:val="Standard"/>
        <w:shd w:val="clear" w:color="auto" w:fill="FFFFFF"/>
        <w:tabs>
          <w:tab w:val="left" w:pos="-195"/>
          <w:tab w:val="left" w:pos="30"/>
        </w:tabs>
        <w:spacing w:line="100" w:lineRule="atLeast"/>
        <w:jc w:val="both"/>
      </w:pPr>
    </w:p>
    <w:p w14:paraId="4E41D03C" w14:textId="77777777" w:rsidR="00FD4953" w:rsidRDefault="00FD4953" w:rsidP="00696D68">
      <w:pPr>
        <w:pStyle w:val="Standard"/>
        <w:shd w:val="clear" w:color="auto" w:fill="FFFFFF"/>
        <w:tabs>
          <w:tab w:val="left" w:pos="-195"/>
          <w:tab w:val="left" w:pos="30"/>
        </w:tabs>
        <w:spacing w:line="100" w:lineRule="atLeast"/>
        <w:jc w:val="both"/>
      </w:pPr>
    </w:p>
    <w:p w14:paraId="4DDE71E7" w14:textId="77777777" w:rsidR="00FD4953" w:rsidRDefault="00FD4953" w:rsidP="00696D68">
      <w:pPr>
        <w:pStyle w:val="Standard"/>
        <w:shd w:val="clear" w:color="auto" w:fill="FFFFFF"/>
        <w:tabs>
          <w:tab w:val="left" w:pos="-195"/>
          <w:tab w:val="left" w:pos="30"/>
        </w:tabs>
        <w:spacing w:line="100" w:lineRule="atLeast"/>
        <w:jc w:val="both"/>
      </w:pPr>
    </w:p>
    <w:p w14:paraId="69C4782B" w14:textId="77777777" w:rsidR="00FD4953" w:rsidRDefault="00FD4953" w:rsidP="00696D68">
      <w:pPr>
        <w:pStyle w:val="Standard"/>
        <w:shd w:val="clear" w:color="auto" w:fill="FFFFFF"/>
        <w:tabs>
          <w:tab w:val="left" w:pos="-195"/>
          <w:tab w:val="left" w:pos="30"/>
        </w:tabs>
        <w:spacing w:line="100" w:lineRule="atLeast"/>
        <w:jc w:val="both"/>
      </w:pPr>
    </w:p>
    <w:p w14:paraId="3142EDE0" w14:textId="77777777" w:rsidR="00FD4953" w:rsidRDefault="00FD4953" w:rsidP="00696D68">
      <w:pPr>
        <w:pStyle w:val="Standard"/>
        <w:shd w:val="clear" w:color="auto" w:fill="FFFFFF"/>
        <w:tabs>
          <w:tab w:val="left" w:pos="-195"/>
          <w:tab w:val="left" w:pos="30"/>
        </w:tabs>
        <w:spacing w:line="100" w:lineRule="atLeast"/>
        <w:jc w:val="both"/>
      </w:pPr>
    </w:p>
    <w:p w14:paraId="6FAC858F" w14:textId="77777777" w:rsidR="00FD4953" w:rsidRDefault="00FD4953" w:rsidP="00696D68">
      <w:pPr>
        <w:pStyle w:val="Standard"/>
        <w:shd w:val="clear" w:color="auto" w:fill="FFFFFF"/>
        <w:tabs>
          <w:tab w:val="left" w:pos="-195"/>
          <w:tab w:val="left" w:pos="30"/>
        </w:tabs>
        <w:spacing w:line="100" w:lineRule="atLeast"/>
        <w:jc w:val="both"/>
      </w:pPr>
    </w:p>
    <w:p w14:paraId="488CC153" w14:textId="77777777" w:rsidR="00FD4953" w:rsidRPr="001F3044" w:rsidRDefault="001F3044" w:rsidP="001F3044">
      <w:pPr>
        <w:pStyle w:val="Standard"/>
        <w:shd w:val="clear" w:color="auto" w:fill="FFFFFF"/>
        <w:tabs>
          <w:tab w:val="left" w:pos="-195"/>
          <w:tab w:val="left" w:pos="30"/>
        </w:tabs>
        <w:spacing w:line="100" w:lineRule="atLeast"/>
        <w:jc w:val="right"/>
        <w:rPr>
          <w:rFonts w:ascii="Arial" w:hAnsi="Arial" w:cs="Arial"/>
          <w:sz w:val="22"/>
          <w:szCs w:val="22"/>
        </w:rPr>
      </w:pPr>
      <w:r w:rsidRPr="001F3044">
        <w:rPr>
          <w:rFonts w:ascii="Arial" w:hAnsi="Arial" w:cs="Arial"/>
          <w:sz w:val="22"/>
          <w:szCs w:val="22"/>
        </w:rPr>
        <w:t>60</w:t>
      </w:r>
    </w:p>
    <w:p w14:paraId="5AE16917" w14:textId="77777777" w:rsidR="00FD4953" w:rsidRDefault="00FD4953" w:rsidP="00696D68">
      <w:pPr>
        <w:pStyle w:val="Standard"/>
        <w:shd w:val="clear" w:color="auto" w:fill="FFFFFF"/>
        <w:tabs>
          <w:tab w:val="left" w:pos="-195"/>
          <w:tab w:val="left" w:pos="30"/>
        </w:tabs>
        <w:spacing w:line="100" w:lineRule="atLeast"/>
        <w:jc w:val="both"/>
      </w:pPr>
    </w:p>
    <w:p w14:paraId="14896C54" w14:textId="77777777" w:rsidR="00FD4953" w:rsidRDefault="00FD4953" w:rsidP="00696D68">
      <w:pPr>
        <w:pStyle w:val="Standard"/>
        <w:shd w:val="clear" w:color="auto" w:fill="FFFFFF"/>
        <w:tabs>
          <w:tab w:val="left" w:pos="-195"/>
          <w:tab w:val="left" w:pos="30"/>
        </w:tabs>
        <w:spacing w:line="100" w:lineRule="atLeast"/>
        <w:jc w:val="both"/>
      </w:pPr>
    </w:p>
    <w:p w14:paraId="770D853D" w14:textId="77777777" w:rsidR="00FD4953" w:rsidRDefault="00FD4953" w:rsidP="00696D68">
      <w:pPr>
        <w:pStyle w:val="Standard"/>
        <w:shd w:val="clear" w:color="auto" w:fill="FFFFFF"/>
        <w:tabs>
          <w:tab w:val="left" w:pos="-195"/>
          <w:tab w:val="left" w:pos="30"/>
        </w:tabs>
        <w:spacing w:line="100" w:lineRule="atLeast"/>
        <w:jc w:val="both"/>
      </w:pPr>
    </w:p>
    <w:p w14:paraId="5CBD743D" w14:textId="77777777" w:rsidR="00FD4953" w:rsidRDefault="00FD4953" w:rsidP="00696D68">
      <w:pPr>
        <w:pStyle w:val="Standard"/>
        <w:shd w:val="clear" w:color="auto" w:fill="FFFFFF"/>
        <w:tabs>
          <w:tab w:val="left" w:pos="-195"/>
          <w:tab w:val="left" w:pos="30"/>
        </w:tabs>
        <w:spacing w:line="100" w:lineRule="atLeast"/>
        <w:jc w:val="both"/>
      </w:pPr>
    </w:p>
    <w:p w14:paraId="6B212465" w14:textId="77777777" w:rsidR="00FD4953" w:rsidRDefault="00FD4953" w:rsidP="00696D68">
      <w:pPr>
        <w:pStyle w:val="Standard"/>
        <w:shd w:val="clear" w:color="auto" w:fill="FFFFFF"/>
        <w:tabs>
          <w:tab w:val="left" w:pos="-195"/>
          <w:tab w:val="left" w:pos="30"/>
        </w:tabs>
        <w:spacing w:line="100" w:lineRule="atLeast"/>
        <w:jc w:val="both"/>
      </w:pPr>
    </w:p>
    <w:p w14:paraId="717E2788" w14:textId="77777777" w:rsidR="00FD4953" w:rsidRDefault="00FD4953" w:rsidP="00696D68">
      <w:pPr>
        <w:pStyle w:val="Standard"/>
        <w:shd w:val="clear" w:color="auto" w:fill="FFFFFF"/>
        <w:tabs>
          <w:tab w:val="left" w:pos="-195"/>
          <w:tab w:val="left" w:pos="30"/>
        </w:tabs>
        <w:spacing w:line="100" w:lineRule="atLeast"/>
        <w:jc w:val="both"/>
      </w:pPr>
    </w:p>
    <w:p w14:paraId="0FBF7B87" w14:textId="77777777" w:rsidR="00FD4953" w:rsidRDefault="00FD4953" w:rsidP="00696D68">
      <w:pPr>
        <w:pStyle w:val="Standard"/>
        <w:shd w:val="clear" w:color="auto" w:fill="FFFFFF"/>
        <w:tabs>
          <w:tab w:val="left" w:pos="-195"/>
          <w:tab w:val="left" w:pos="30"/>
        </w:tabs>
        <w:spacing w:line="100" w:lineRule="atLeast"/>
        <w:jc w:val="both"/>
      </w:pPr>
    </w:p>
    <w:p w14:paraId="3FF2ABE8" w14:textId="77777777" w:rsidR="00FD4953" w:rsidRDefault="00FD4953" w:rsidP="00696D68">
      <w:pPr>
        <w:pStyle w:val="Standard"/>
        <w:shd w:val="clear" w:color="auto" w:fill="FFFFFF"/>
        <w:tabs>
          <w:tab w:val="left" w:pos="-195"/>
          <w:tab w:val="left" w:pos="30"/>
        </w:tabs>
        <w:spacing w:line="100" w:lineRule="atLeast"/>
        <w:jc w:val="both"/>
      </w:pPr>
    </w:p>
    <w:p w14:paraId="5BB9B028" w14:textId="77777777" w:rsidR="00FD4953" w:rsidRDefault="00FD4953" w:rsidP="00696D68">
      <w:pPr>
        <w:pStyle w:val="Standard"/>
        <w:shd w:val="clear" w:color="auto" w:fill="FFFFFF"/>
        <w:tabs>
          <w:tab w:val="left" w:pos="-195"/>
          <w:tab w:val="left" w:pos="30"/>
        </w:tabs>
        <w:spacing w:line="100" w:lineRule="atLeast"/>
        <w:jc w:val="both"/>
      </w:pPr>
    </w:p>
    <w:p w14:paraId="7DA7D64E" w14:textId="77777777" w:rsidR="00FD4953" w:rsidRDefault="00FD4953" w:rsidP="00696D68">
      <w:pPr>
        <w:pStyle w:val="Standard"/>
        <w:shd w:val="clear" w:color="auto" w:fill="FFFFFF"/>
        <w:tabs>
          <w:tab w:val="left" w:pos="-195"/>
          <w:tab w:val="left" w:pos="30"/>
        </w:tabs>
        <w:spacing w:line="100" w:lineRule="atLeast"/>
        <w:jc w:val="both"/>
      </w:pPr>
    </w:p>
    <w:p w14:paraId="2AD55E21" w14:textId="77777777" w:rsidR="00FD4953" w:rsidRDefault="00FD4953" w:rsidP="00696D68">
      <w:pPr>
        <w:pStyle w:val="Standard"/>
        <w:shd w:val="clear" w:color="auto" w:fill="FFFFFF"/>
        <w:tabs>
          <w:tab w:val="left" w:pos="-195"/>
          <w:tab w:val="left" w:pos="30"/>
        </w:tabs>
        <w:spacing w:line="100" w:lineRule="atLeast"/>
        <w:jc w:val="both"/>
      </w:pPr>
    </w:p>
    <w:p w14:paraId="5688F220" w14:textId="77777777" w:rsidR="00FD4953" w:rsidRDefault="00FD4953" w:rsidP="00E01E29">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Pr>
          <w:rFonts w:ascii="Arial" w:hAnsi="Arial" w:cs="Arial"/>
          <w:b/>
          <w:bCs/>
          <w:i/>
          <w:iCs/>
          <w:color w:val="0066CC"/>
          <w:sz w:val="56"/>
          <w:szCs w:val="56"/>
        </w:rPr>
        <w:t>ESTADOS FINANCIEROS DETALLADOS</w:t>
      </w:r>
    </w:p>
    <w:p w14:paraId="5EBDA32B" w14:textId="77777777" w:rsidR="00FD4953" w:rsidRDefault="00FD4953" w:rsidP="00FD4953">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2C2997E4" w14:textId="77777777" w:rsidR="00FD4953" w:rsidRDefault="00FD4953" w:rsidP="00FD4953">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Pr>
          <w:rFonts w:ascii="Arial" w:hAnsi="Arial" w:cs="Arial"/>
          <w:b/>
          <w:bCs/>
          <w:i/>
          <w:iCs/>
          <w:color w:val="0066CC"/>
          <w:sz w:val="56"/>
          <w:szCs w:val="56"/>
        </w:rPr>
        <w:t>2018-2017</w:t>
      </w:r>
    </w:p>
    <w:p w14:paraId="52B4D58D" w14:textId="77777777" w:rsidR="00FD4953" w:rsidRDefault="00FD4953" w:rsidP="00696D68">
      <w:pPr>
        <w:pStyle w:val="Standard"/>
        <w:shd w:val="clear" w:color="auto" w:fill="FFFFFF"/>
        <w:tabs>
          <w:tab w:val="left" w:pos="-195"/>
          <w:tab w:val="left" w:pos="30"/>
        </w:tabs>
        <w:spacing w:line="100" w:lineRule="atLeast"/>
        <w:jc w:val="both"/>
      </w:pPr>
    </w:p>
    <w:p w14:paraId="7E716640" w14:textId="77777777" w:rsidR="00FD4953" w:rsidRDefault="00FD4953" w:rsidP="00696D68">
      <w:pPr>
        <w:pStyle w:val="Standard"/>
        <w:shd w:val="clear" w:color="auto" w:fill="FFFFFF"/>
        <w:tabs>
          <w:tab w:val="left" w:pos="-195"/>
          <w:tab w:val="left" w:pos="30"/>
        </w:tabs>
        <w:spacing w:line="100" w:lineRule="atLeast"/>
        <w:jc w:val="both"/>
      </w:pPr>
    </w:p>
    <w:p w14:paraId="5F6C91E5" w14:textId="77777777" w:rsidR="00FD4953" w:rsidRDefault="00FD4953" w:rsidP="00696D68">
      <w:pPr>
        <w:pStyle w:val="Standard"/>
        <w:shd w:val="clear" w:color="auto" w:fill="FFFFFF"/>
        <w:tabs>
          <w:tab w:val="left" w:pos="-195"/>
          <w:tab w:val="left" w:pos="30"/>
        </w:tabs>
        <w:spacing w:line="100" w:lineRule="atLeast"/>
        <w:jc w:val="both"/>
      </w:pPr>
    </w:p>
    <w:p w14:paraId="6325E6B7" w14:textId="77777777" w:rsidR="00FD4953" w:rsidRDefault="00FD4953" w:rsidP="00696D68">
      <w:pPr>
        <w:pStyle w:val="Standard"/>
        <w:shd w:val="clear" w:color="auto" w:fill="FFFFFF"/>
        <w:tabs>
          <w:tab w:val="left" w:pos="-195"/>
          <w:tab w:val="left" w:pos="30"/>
        </w:tabs>
        <w:spacing w:line="100" w:lineRule="atLeast"/>
        <w:jc w:val="both"/>
      </w:pPr>
    </w:p>
    <w:p w14:paraId="4010E33B" w14:textId="77777777" w:rsidR="00FD4953" w:rsidRDefault="00FD4953" w:rsidP="00696D68">
      <w:pPr>
        <w:pStyle w:val="Standard"/>
        <w:shd w:val="clear" w:color="auto" w:fill="FFFFFF"/>
        <w:tabs>
          <w:tab w:val="left" w:pos="-195"/>
          <w:tab w:val="left" w:pos="30"/>
        </w:tabs>
        <w:spacing w:line="100" w:lineRule="atLeast"/>
        <w:jc w:val="both"/>
      </w:pPr>
    </w:p>
    <w:p w14:paraId="62EA25B9" w14:textId="77777777" w:rsidR="00FD4953" w:rsidRDefault="00FD4953" w:rsidP="00696D68">
      <w:pPr>
        <w:pStyle w:val="Standard"/>
        <w:shd w:val="clear" w:color="auto" w:fill="FFFFFF"/>
        <w:tabs>
          <w:tab w:val="left" w:pos="-195"/>
          <w:tab w:val="left" w:pos="30"/>
        </w:tabs>
        <w:spacing w:line="100" w:lineRule="atLeast"/>
        <w:jc w:val="both"/>
      </w:pPr>
    </w:p>
    <w:p w14:paraId="4BB61B80" w14:textId="77777777" w:rsidR="00FD4953" w:rsidRDefault="00FD4953" w:rsidP="00696D68">
      <w:pPr>
        <w:pStyle w:val="Standard"/>
        <w:shd w:val="clear" w:color="auto" w:fill="FFFFFF"/>
        <w:tabs>
          <w:tab w:val="left" w:pos="-195"/>
          <w:tab w:val="left" w:pos="30"/>
        </w:tabs>
        <w:spacing w:line="100" w:lineRule="atLeast"/>
        <w:jc w:val="both"/>
      </w:pPr>
    </w:p>
    <w:p w14:paraId="2449C98E" w14:textId="77777777" w:rsidR="00FD4953" w:rsidRDefault="00FD4953" w:rsidP="00696D68">
      <w:pPr>
        <w:pStyle w:val="Standard"/>
        <w:shd w:val="clear" w:color="auto" w:fill="FFFFFF"/>
        <w:tabs>
          <w:tab w:val="left" w:pos="-195"/>
          <w:tab w:val="left" w:pos="30"/>
        </w:tabs>
        <w:spacing w:line="100" w:lineRule="atLeast"/>
        <w:jc w:val="both"/>
      </w:pPr>
    </w:p>
    <w:p w14:paraId="3DC60E13" w14:textId="77777777" w:rsidR="00FD4953" w:rsidRDefault="00FD4953" w:rsidP="00696D68">
      <w:pPr>
        <w:pStyle w:val="Standard"/>
        <w:shd w:val="clear" w:color="auto" w:fill="FFFFFF"/>
        <w:tabs>
          <w:tab w:val="left" w:pos="-195"/>
          <w:tab w:val="left" w:pos="30"/>
        </w:tabs>
        <w:spacing w:line="100" w:lineRule="atLeast"/>
        <w:jc w:val="both"/>
      </w:pPr>
    </w:p>
    <w:p w14:paraId="7216BF4C" w14:textId="77777777" w:rsidR="00FD4953" w:rsidRDefault="00FD4953" w:rsidP="00696D68">
      <w:pPr>
        <w:pStyle w:val="Standard"/>
        <w:shd w:val="clear" w:color="auto" w:fill="FFFFFF"/>
        <w:tabs>
          <w:tab w:val="left" w:pos="-195"/>
          <w:tab w:val="left" w:pos="30"/>
        </w:tabs>
        <w:spacing w:line="100" w:lineRule="atLeast"/>
        <w:jc w:val="both"/>
      </w:pPr>
    </w:p>
    <w:p w14:paraId="6DB5C2FD" w14:textId="77777777" w:rsidR="00FD4953" w:rsidRDefault="00FD4953" w:rsidP="00696D68">
      <w:pPr>
        <w:pStyle w:val="Standard"/>
        <w:shd w:val="clear" w:color="auto" w:fill="FFFFFF"/>
        <w:tabs>
          <w:tab w:val="left" w:pos="-195"/>
          <w:tab w:val="left" w:pos="30"/>
        </w:tabs>
        <w:spacing w:line="100" w:lineRule="atLeast"/>
        <w:jc w:val="both"/>
      </w:pPr>
    </w:p>
    <w:p w14:paraId="710651D4" w14:textId="77777777" w:rsidR="00FD4953" w:rsidRDefault="00FD4953" w:rsidP="00696D68">
      <w:pPr>
        <w:pStyle w:val="Standard"/>
        <w:shd w:val="clear" w:color="auto" w:fill="FFFFFF"/>
        <w:tabs>
          <w:tab w:val="left" w:pos="-195"/>
          <w:tab w:val="left" w:pos="30"/>
        </w:tabs>
        <w:spacing w:line="100" w:lineRule="atLeast"/>
        <w:jc w:val="both"/>
      </w:pPr>
    </w:p>
    <w:p w14:paraId="1A7E1DD7" w14:textId="77777777" w:rsidR="00FD4953" w:rsidRDefault="00FD4953" w:rsidP="00696D68">
      <w:pPr>
        <w:pStyle w:val="Standard"/>
        <w:shd w:val="clear" w:color="auto" w:fill="FFFFFF"/>
        <w:tabs>
          <w:tab w:val="left" w:pos="-195"/>
          <w:tab w:val="left" w:pos="30"/>
        </w:tabs>
        <w:spacing w:line="100" w:lineRule="atLeast"/>
        <w:jc w:val="both"/>
      </w:pPr>
    </w:p>
    <w:p w14:paraId="734B8344" w14:textId="77777777" w:rsidR="00FD4953" w:rsidRDefault="00FD4953" w:rsidP="00696D68">
      <w:pPr>
        <w:pStyle w:val="Standard"/>
        <w:shd w:val="clear" w:color="auto" w:fill="FFFFFF"/>
        <w:tabs>
          <w:tab w:val="left" w:pos="-195"/>
          <w:tab w:val="left" w:pos="30"/>
        </w:tabs>
        <w:spacing w:line="100" w:lineRule="atLeast"/>
        <w:jc w:val="both"/>
      </w:pPr>
    </w:p>
    <w:p w14:paraId="32F7B074" w14:textId="77777777" w:rsidR="00FD4953" w:rsidRDefault="00FD4953" w:rsidP="00696D68">
      <w:pPr>
        <w:pStyle w:val="Standard"/>
        <w:shd w:val="clear" w:color="auto" w:fill="FFFFFF"/>
        <w:tabs>
          <w:tab w:val="left" w:pos="-195"/>
          <w:tab w:val="left" w:pos="30"/>
        </w:tabs>
        <w:spacing w:line="100" w:lineRule="atLeast"/>
        <w:jc w:val="both"/>
      </w:pPr>
    </w:p>
    <w:p w14:paraId="63392995" w14:textId="77777777" w:rsidR="00FD4953" w:rsidRDefault="00FD4953" w:rsidP="00696D68">
      <w:pPr>
        <w:pStyle w:val="Standard"/>
        <w:shd w:val="clear" w:color="auto" w:fill="FFFFFF"/>
        <w:tabs>
          <w:tab w:val="left" w:pos="-195"/>
          <w:tab w:val="left" w:pos="30"/>
        </w:tabs>
        <w:spacing w:line="100" w:lineRule="atLeast"/>
        <w:jc w:val="both"/>
      </w:pPr>
    </w:p>
    <w:p w14:paraId="22FD11FF" w14:textId="77777777" w:rsidR="00FD4953" w:rsidRDefault="00FD4953" w:rsidP="00696D68">
      <w:pPr>
        <w:pStyle w:val="Standard"/>
        <w:shd w:val="clear" w:color="auto" w:fill="FFFFFF"/>
        <w:tabs>
          <w:tab w:val="left" w:pos="-195"/>
          <w:tab w:val="left" w:pos="30"/>
        </w:tabs>
        <w:spacing w:line="100" w:lineRule="atLeast"/>
        <w:jc w:val="both"/>
      </w:pPr>
    </w:p>
    <w:p w14:paraId="61A82772" w14:textId="77777777" w:rsidR="00FD4953" w:rsidRDefault="00FD4953" w:rsidP="00696D68">
      <w:pPr>
        <w:pStyle w:val="Standard"/>
        <w:shd w:val="clear" w:color="auto" w:fill="FFFFFF"/>
        <w:tabs>
          <w:tab w:val="left" w:pos="-195"/>
          <w:tab w:val="left" w:pos="30"/>
        </w:tabs>
        <w:spacing w:line="100" w:lineRule="atLeast"/>
        <w:jc w:val="both"/>
      </w:pPr>
    </w:p>
    <w:p w14:paraId="0AFE2904" w14:textId="77777777" w:rsidR="00FD4953" w:rsidRDefault="00FD4953" w:rsidP="00696D68">
      <w:pPr>
        <w:pStyle w:val="Standard"/>
        <w:shd w:val="clear" w:color="auto" w:fill="FFFFFF"/>
        <w:tabs>
          <w:tab w:val="left" w:pos="-195"/>
          <w:tab w:val="left" w:pos="30"/>
        </w:tabs>
        <w:spacing w:line="100" w:lineRule="atLeast"/>
        <w:jc w:val="both"/>
      </w:pPr>
    </w:p>
    <w:p w14:paraId="537847CF" w14:textId="77777777" w:rsidR="00FD4953" w:rsidRDefault="00FD4953" w:rsidP="00696D68">
      <w:pPr>
        <w:pStyle w:val="Standard"/>
        <w:shd w:val="clear" w:color="auto" w:fill="FFFFFF"/>
        <w:tabs>
          <w:tab w:val="left" w:pos="-195"/>
          <w:tab w:val="left" w:pos="30"/>
        </w:tabs>
        <w:spacing w:line="100" w:lineRule="atLeast"/>
        <w:jc w:val="both"/>
      </w:pPr>
    </w:p>
    <w:p w14:paraId="4867A35F" w14:textId="77777777" w:rsidR="00FD4953" w:rsidRDefault="00FD4953" w:rsidP="00696D68">
      <w:pPr>
        <w:pStyle w:val="Standard"/>
        <w:shd w:val="clear" w:color="auto" w:fill="FFFFFF"/>
        <w:tabs>
          <w:tab w:val="left" w:pos="-195"/>
          <w:tab w:val="left" w:pos="30"/>
        </w:tabs>
        <w:spacing w:line="100" w:lineRule="atLeast"/>
        <w:jc w:val="both"/>
      </w:pPr>
    </w:p>
    <w:p w14:paraId="4AF33ED0" w14:textId="77777777" w:rsidR="001F3044" w:rsidRDefault="001F3044" w:rsidP="001F3044">
      <w:pPr>
        <w:pStyle w:val="Standard"/>
        <w:shd w:val="clear" w:color="auto" w:fill="FFFFFF"/>
        <w:tabs>
          <w:tab w:val="left" w:pos="-195"/>
          <w:tab w:val="left" w:pos="30"/>
        </w:tabs>
        <w:spacing w:line="100" w:lineRule="atLeast"/>
        <w:jc w:val="right"/>
      </w:pPr>
    </w:p>
    <w:p w14:paraId="70BDA074" w14:textId="77777777" w:rsidR="00FD4953" w:rsidRDefault="001F3044" w:rsidP="001F3044">
      <w:pPr>
        <w:pStyle w:val="Standard"/>
        <w:shd w:val="clear" w:color="auto" w:fill="FFFFFF"/>
        <w:tabs>
          <w:tab w:val="left" w:pos="-195"/>
          <w:tab w:val="left" w:pos="30"/>
        </w:tabs>
        <w:spacing w:line="100" w:lineRule="atLeast"/>
        <w:jc w:val="right"/>
      </w:pPr>
      <w:r>
        <w:t>61</w:t>
      </w:r>
    </w:p>
    <w:p w14:paraId="35C17BC0" w14:textId="77777777" w:rsidR="00FD4953" w:rsidRDefault="00E01E29" w:rsidP="00696D68">
      <w:pPr>
        <w:pStyle w:val="Standard"/>
        <w:shd w:val="clear" w:color="auto" w:fill="FFFFFF"/>
        <w:tabs>
          <w:tab w:val="left" w:pos="-195"/>
          <w:tab w:val="left" w:pos="30"/>
        </w:tabs>
        <w:spacing w:line="100" w:lineRule="atLeast"/>
        <w:jc w:val="both"/>
      </w:pPr>
      <w:r>
        <w:rPr>
          <w:noProof/>
          <w:lang w:val="es-CR" w:eastAsia="es-CR"/>
        </w:rPr>
        <w:lastRenderedPageBreak/>
        <w:drawing>
          <wp:anchor distT="0" distB="0" distL="114300" distR="114300" simplePos="0" relativeHeight="251841536" behindDoc="0" locked="0" layoutInCell="1" allowOverlap="1" wp14:anchorId="0E973F7D" wp14:editId="5B6B53E8">
            <wp:simplePos x="0" y="0"/>
            <wp:positionH relativeFrom="margin">
              <wp:align>left</wp:align>
            </wp:positionH>
            <wp:positionV relativeFrom="paragraph">
              <wp:posOffset>0</wp:posOffset>
            </wp:positionV>
            <wp:extent cx="5135880" cy="6141720"/>
            <wp:effectExtent l="0" t="0" r="762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stado de Resultados dic 2017 - 2018_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35880" cy="6141720"/>
                    </a:xfrm>
                    <a:prstGeom prst="rect">
                      <a:avLst/>
                    </a:prstGeom>
                  </pic:spPr>
                </pic:pic>
              </a:graphicData>
            </a:graphic>
            <wp14:sizeRelH relativeFrom="margin">
              <wp14:pctWidth>0</wp14:pctWidth>
            </wp14:sizeRelH>
            <wp14:sizeRelV relativeFrom="margin">
              <wp14:pctHeight>0</wp14:pctHeight>
            </wp14:sizeRelV>
          </wp:anchor>
        </w:drawing>
      </w:r>
    </w:p>
    <w:p w14:paraId="5AB54718" w14:textId="77777777" w:rsidR="00FD4953" w:rsidRDefault="00FD4953" w:rsidP="00696D68">
      <w:pPr>
        <w:pStyle w:val="Standard"/>
        <w:shd w:val="clear" w:color="auto" w:fill="FFFFFF"/>
        <w:tabs>
          <w:tab w:val="left" w:pos="-195"/>
          <w:tab w:val="left" w:pos="30"/>
        </w:tabs>
        <w:spacing w:line="100" w:lineRule="atLeast"/>
        <w:jc w:val="both"/>
      </w:pPr>
    </w:p>
    <w:p w14:paraId="77755575" w14:textId="77777777" w:rsidR="00FD4953" w:rsidRDefault="00FD4953" w:rsidP="00696D68">
      <w:pPr>
        <w:pStyle w:val="Standard"/>
        <w:shd w:val="clear" w:color="auto" w:fill="FFFFFF"/>
        <w:tabs>
          <w:tab w:val="left" w:pos="-195"/>
          <w:tab w:val="left" w:pos="30"/>
        </w:tabs>
        <w:spacing w:line="100" w:lineRule="atLeast"/>
        <w:jc w:val="both"/>
      </w:pPr>
    </w:p>
    <w:p w14:paraId="6B5C5F5D" w14:textId="77777777" w:rsidR="00FD4953" w:rsidRDefault="00FD4953" w:rsidP="00696D68">
      <w:pPr>
        <w:pStyle w:val="Standard"/>
        <w:shd w:val="clear" w:color="auto" w:fill="FFFFFF"/>
        <w:tabs>
          <w:tab w:val="left" w:pos="-195"/>
          <w:tab w:val="left" w:pos="30"/>
        </w:tabs>
        <w:spacing w:line="100" w:lineRule="atLeast"/>
        <w:jc w:val="both"/>
      </w:pPr>
    </w:p>
    <w:p w14:paraId="51C36859" w14:textId="77777777" w:rsidR="00FD4953" w:rsidRDefault="00FD4953" w:rsidP="00696D68">
      <w:pPr>
        <w:pStyle w:val="Standard"/>
        <w:shd w:val="clear" w:color="auto" w:fill="FFFFFF"/>
        <w:tabs>
          <w:tab w:val="left" w:pos="-195"/>
          <w:tab w:val="left" w:pos="30"/>
        </w:tabs>
        <w:spacing w:line="100" w:lineRule="atLeast"/>
        <w:jc w:val="both"/>
      </w:pPr>
    </w:p>
    <w:p w14:paraId="5086F805" w14:textId="77777777" w:rsidR="00FD4953" w:rsidRDefault="00FD4953" w:rsidP="00696D68">
      <w:pPr>
        <w:pStyle w:val="Standard"/>
        <w:shd w:val="clear" w:color="auto" w:fill="FFFFFF"/>
        <w:tabs>
          <w:tab w:val="left" w:pos="-195"/>
          <w:tab w:val="left" w:pos="30"/>
        </w:tabs>
        <w:spacing w:line="100" w:lineRule="atLeast"/>
        <w:jc w:val="both"/>
      </w:pPr>
    </w:p>
    <w:p w14:paraId="64E5C1EA" w14:textId="77777777" w:rsidR="00FD4953" w:rsidRDefault="00FD4953" w:rsidP="00696D68">
      <w:pPr>
        <w:pStyle w:val="Standard"/>
        <w:shd w:val="clear" w:color="auto" w:fill="FFFFFF"/>
        <w:tabs>
          <w:tab w:val="left" w:pos="-195"/>
          <w:tab w:val="left" w:pos="30"/>
        </w:tabs>
        <w:spacing w:line="100" w:lineRule="atLeast"/>
        <w:jc w:val="both"/>
      </w:pPr>
    </w:p>
    <w:p w14:paraId="5D4D0FA3" w14:textId="77777777" w:rsidR="00F7147C" w:rsidRDefault="00F7147C" w:rsidP="00696D68">
      <w:pPr>
        <w:pStyle w:val="Standard"/>
        <w:shd w:val="clear" w:color="auto" w:fill="FFFFFF"/>
        <w:tabs>
          <w:tab w:val="left" w:pos="-195"/>
          <w:tab w:val="left" w:pos="30"/>
        </w:tabs>
        <w:spacing w:line="100" w:lineRule="atLeast"/>
        <w:jc w:val="both"/>
      </w:pPr>
    </w:p>
    <w:p w14:paraId="705DD40D" w14:textId="77777777" w:rsidR="00F7147C" w:rsidRDefault="00F7147C" w:rsidP="00696D68">
      <w:pPr>
        <w:pStyle w:val="Standard"/>
        <w:shd w:val="clear" w:color="auto" w:fill="FFFFFF"/>
        <w:tabs>
          <w:tab w:val="left" w:pos="-195"/>
          <w:tab w:val="left" w:pos="30"/>
        </w:tabs>
        <w:spacing w:line="100" w:lineRule="atLeast"/>
        <w:jc w:val="both"/>
      </w:pPr>
    </w:p>
    <w:p w14:paraId="5A9CEFE1" w14:textId="77777777" w:rsidR="00F7147C" w:rsidRDefault="00F7147C" w:rsidP="00696D68">
      <w:pPr>
        <w:pStyle w:val="Standard"/>
        <w:shd w:val="clear" w:color="auto" w:fill="FFFFFF"/>
        <w:tabs>
          <w:tab w:val="left" w:pos="-195"/>
          <w:tab w:val="left" w:pos="30"/>
        </w:tabs>
        <w:spacing w:line="100" w:lineRule="atLeast"/>
        <w:jc w:val="both"/>
      </w:pPr>
    </w:p>
    <w:p w14:paraId="51AB8000" w14:textId="77777777" w:rsidR="00F7147C" w:rsidRDefault="00F7147C" w:rsidP="00696D68">
      <w:pPr>
        <w:pStyle w:val="Standard"/>
        <w:shd w:val="clear" w:color="auto" w:fill="FFFFFF"/>
        <w:tabs>
          <w:tab w:val="left" w:pos="-195"/>
          <w:tab w:val="left" w:pos="30"/>
        </w:tabs>
        <w:spacing w:line="100" w:lineRule="atLeast"/>
        <w:jc w:val="both"/>
      </w:pPr>
    </w:p>
    <w:p w14:paraId="3B5A641B" w14:textId="77777777" w:rsidR="00F7147C" w:rsidRDefault="00F7147C" w:rsidP="00696D68">
      <w:pPr>
        <w:pStyle w:val="Standard"/>
        <w:shd w:val="clear" w:color="auto" w:fill="FFFFFF"/>
        <w:tabs>
          <w:tab w:val="left" w:pos="-195"/>
          <w:tab w:val="left" w:pos="30"/>
        </w:tabs>
        <w:spacing w:line="100" w:lineRule="atLeast"/>
        <w:jc w:val="both"/>
      </w:pPr>
    </w:p>
    <w:p w14:paraId="15BF2D10" w14:textId="77777777" w:rsidR="00F7147C" w:rsidRDefault="00F7147C" w:rsidP="00696D68">
      <w:pPr>
        <w:pStyle w:val="Standard"/>
        <w:shd w:val="clear" w:color="auto" w:fill="FFFFFF"/>
        <w:tabs>
          <w:tab w:val="left" w:pos="-195"/>
          <w:tab w:val="left" w:pos="30"/>
        </w:tabs>
        <w:spacing w:line="100" w:lineRule="atLeast"/>
        <w:jc w:val="both"/>
      </w:pPr>
    </w:p>
    <w:p w14:paraId="62307CB4" w14:textId="77777777" w:rsidR="00F7147C" w:rsidRDefault="00F7147C" w:rsidP="00696D68">
      <w:pPr>
        <w:pStyle w:val="Standard"/>
        <w:shd w:val="clear" w:color="auto" w:fill="FFFFFF"/>
        <w:tabs>
          <w:tab w:val="left" w:pos="-195"/>
          <w:tab w:val="left" w:pos="30"/>
        </w:tabs>
        <w:spacing w:line="100" w:lineRule="atLeast"/>
        <w:jc w:val="both"/>
      </w:pPr>
    </w:p>
    <w:p w14:paraId="792CE093" w14:textId="77777777" w:rsidR="00F7147C" w:rsidRDefault="00F7147C" w:rsidP="00696D68">
      <w:pPr>
        <w:pStyle w:val="Standard"/>
        <w:shd w:val="clear" w:color="auto" w:fill="FFFFFF"/>
        <w:tabs>
          <w:tab w:val="left" w:pos="-195"/>
          <w:tab w:val="left" w:pos="30"/>
        </w:tabs>
        <w:spacing w:line="100" w:lineRule="atLeast"/>
        <w:jc w:val="both"/>
      </w:pPr>
    </w:p>
    <w:p w14:paraId="49B069C7" w14:textId="77777777" w:rsidR="00F7147C" w:rsidRDefault="00F7147C" w:rsidP="00696D68">
      <w:pPr>
        <w:pStyle w:val="Standard"/>
        <w:shd w:val="clear" w:color="auto" w:fill="FFFFFF"/>
        <w:tabs>
          <w:tab w:val="left" w:pos="-195"/>
          <w:tab w:val="left" w:pos="30"/>
        </w:tabs>
        <w:spacing w:line="100" w:lineRule="atLeast"/>
        <w:jc w:val="both"/>
      </w:pPr>
    </w:p>
    <w:p w14:paraId="0FD6D33C" w14:textId="77777777" w:rsidR="00F7147C" w:rsidRDefault="00F7147C" w:rsidP="00696D68">
      <w:pPr>
        <w:pStyle w:val="Standard"/>
        <w:shd w:val="clear" w:color="auto" w:fill="FFFFFF"/>
        <w:tabs>
          <w:tab w:val="left" w:pos="-195"/>
          <w:tab w:val="left" w:pos="30"/>
        </w:tabs>
        <w:spacing w:line="100" w:lineRule="atLeast"/>
        <w:jc w:val="both"/>
      </w:pPr>
    </w:p>
    <w:p w14:paraId="3F725367" w14:textId="77777777" w:rsidR="00F7147C" w:rsidRDefault="00F7147C" w:rsidP="00696D68">
      <w:pPr>
        <w:pStyle w:val="Standard"/>
        <w:shd w:val="clear" w:color="auto" w:fill="FFFFFF"/>
        <w:tabs>
          <w:tab w:val="left" w:pos="-195"/>
          <w:tab w:val="left" w:pos="30"/>
        </w:tabs>
        <w:spacing w:line="100" w:lineRule="atLeast"/>
        <w:jc w:val="both"/>
      </w:pPr>
    </w:p>
    <w:p w14:paraId="1FF66F83" w14:textId="77777777" w:rsidR="00F7147C" w:rsidRDefault="00F7147C" w:rsidP="00696D68">
      <w:pPr>
        <w:pStyle w:val="Standard"/>
        <w:shd w:val="clear" w:color="auto" w:fill="FFFFFF"/>
        <w:tabs>
          <w:tab w:val="left" w:pos="-195"/>
          <w:tab w:val="left" w:pos="30"/>
        </w:tabs>
        <w:spacing w:line="100" w:lineRule="atLeast"/>
        <w:jc w:val="both"/>
      </w:pPr>
    </w:p>
    <w:p w14:paraId="4C20A6F1" w14:textId="77777777" w:rsidR="00F7147C" w:rsidRDefault="00F7147C" w:rsidP="00696D68">
      <w:pPr>
        <w:pStyle w:val="Standard"/>
        <w:shd w:val="clear" w:color="auto" w:fill="FFFFFF"/>
        <w:tabs>
          <w:tab w:val="left" w:pos="-195"/>
          <w:tab w:val="left" w:pos="30"/>
        </w:tabs>
        <w:spacing w:line="100" w:lineRule="atLeast"/>
        <w:jc w:val="both"/>
      </w:pPr>
    </w:p>
    <w:p w14:paraId="1BB147CA" w14:textId="77777777" w:rsidR="00F7147C" w:rsidRDefault="00F7147C" w:rsidP="00696D68">
      <w:pPr>
        <w:pStyle w:val="Standard"/>
        <w:shd w:val="clear" w:color="auto" w:fill="FFFFFF"/>
        <w:tabs>
          <w:tab w:val="left" w:pos="-195"/>
          <w:tab w:val="left" w:pos="30"/>
        </w:tabs>
        <w:spacing w:line="100" w:lineRule="atLeast"/>
        <w:jc w:val="both"/>
      </w:pPr>
    </w:p>
    <w:p w14:paraId="7B1BDADC" w14:textId="77777777" w:rsidR="00F7147C" w:rsidRDefault="00F7147C" w:rsidP="00696D68">
      <w:pPr>
        <w:pStyle w:val="Standard"/>
        <w:shd w:val="clear" w:color="auto" w:fill="FFFFFF"/>
        <w:tabs>
          <w:tab w:val="left" w:pos="-195"/>
          <w:tab w:val="left" w:pos="30"/>
        </w:tabs>
        <w:spacing w:line="100" w:lineRule="atLeast"/>
        <w:jc w:val="both"/>
      </w:pPr>
    </w:p>
    <w:p w14:paraId="76A818E3" w14:textId="77777777" w:rsidR="00F7147C" w:rsidRDefault="00F7147C" w:rsidP="00696D68">
      <w:pPr>
        <w:pStyle w:val="Standard"/>
        <w:shd w:val="clear" w:color="auto" w:fill="FFFFFF"/>
        <w:tabs>
          <w:tab w:val="left" w:pos="-195"/>
          <w:tab w:val="left" w:pos="30"/>
        </w:tabs>
        <w:spacing w:line="100" w:lineRule="atLeast"/>
        <w:jc w:val="both"/>
      </w:pPr>
    </w:p>
    <w:p w14:paraId="29CFBD1E" w14:textId="77777777" w:rsidR="00F7147C" w:rsidRDefault="00F7147C" w:rsidP="00696D68">
      <w:pPr>
        <w:pStyle w:val="Standard"/>
        <w:shd w:val="clear" w:color="auto" w:fill="FFFFFF"/>
        <w:tabs>
          <w:tab w:val="left" w:pos="-195"/>
          <w:tab w:val="left" w:pos="30"/>
        </w:tabs>
        <w:spacing w:line="100" w:lineRule="atLeast"/>
        <w:jc w:val="both"/>
      </w:pPr>
    </w:p>
    <w:p w14:paraId="2196FD18" w14:textId="77777777" w:rsidR="00F7147C" w:rsidRDefault="00F7147C" w:rsidP="00696D68">
      <w:pPr>
        <w:pStyle w:val="Standard"/>
        <w:shd w:val="clear" w:color="auto" w:fill="FFFFFF"/>
        <w:tabs>
          <w:tab w:val="left" w:pos="-195"/>
          <w:tab w:val="left" w:pos="30"/>
        </w:tabs>
        <w:spacing w:line="100" w:lineRule="atLeast"/>
        <w:jc w:val="both"/>
      </w:pPr>
    </w:p>
    <w:p w14:paraId="3878495A" w14:textId="77777777" w:rsidR="00F7147C" w:rsidRDefault="00F7147C" w:rsidP="00696D68">
      <w:pPr>
        <w:pStyle w:val="Standard"/>
        <w:shd w:val="clear" w:color="auto" w:fill="FFFFFF"/>
        <w:tabs>
          <w:tab w:val="left" w:pos="-195"/>
          <w:tab w:val="left" w:pos="30"/>
        </w:tabs>
        <w:spacing w:line="100" w:lineRule="atLeast"/>
        <w:jc w:val="both"/>
      </w:pPr>
    </w:p>
    <w:p w14:paraId="79A2CE0B" w14:textId="77777777" w:rsidR="00F7147C" w:rsidRDefault="00F7147C" w:rsidP="00696D68">
      <w:pPr>
        <w:pStyle w:val="Standard"/>
        <w:shd w:val="clear" w:color="auto" w:fill="FFFFFF"/>
        <w:tabs>
          <w:tab w:val="left" w:pos="-195"/>
          <w:tab w:val="left" w:pos="30"/>
        </w:tabs>
        <w:spacing w:line="100" w:lineRule="atLeast"/>
        <w:jc w:val="both"/>
      </w:pPr>
    </w:p>
    <w:p w14:paraId="75C77FB8" w14:textId="77777777" w:rsidR="00F7147C" w:rsidRDefault="00F7147C" w:rsidP="00696D68">
      <w:pPr>
        <w:pStyle w:val="Standard"/>
        <w:shd w:val="clear" w:color="auto" w:fill="FFFFFF"/>
        <w:tabs>
          <w:tab w:val="left" w:pos="-195"/>
          <w:tab w:val="left" w:pos="30"/>
        </w:tabs>
        <w:spacing w:line="100" w:lineRule="atLeast"/>
        <w:jc w:val="both"/>
      </w:pPr>
    </w:p>
    <w:p w14:paraId="017B9C46" w14:textId="77777777" w:rsidR="00F7147C" w:rsidRDefault="00F7147C" w:rsidP="00696D68">
      <w:pPr>
        <w:pStyle w:val="Standard"/>
        <w:shd w:val="clear" w:color="auto" w:fill="FFFFFF"/>
        <w:tabs>
          <w:tab w:val="left" w:pos="-195"/>
          <w:tab w:val="left" w:pos="30"/>
        </w:tabs>
        <w:spacing w:line="100" w:lineRule="atLeast"/>
        <w:jc w:val="both"/>
      </w:pPr>
    </w:p>
    <w:p w14:paraId="7E26E897" w14:textId="77777777" w:rsidR="00F7147C" w:rsidRDefault="00F7147C" w:rsidP="00696D68">
      <w:pPr>
        <w:pStyle w:val="Standard"/>
        <w:shd w:val="clear" w:color="auto" w:fill="FFFFFF"/>
        <w:tabs>
          <w:tab w:val="left" w:pos="-195"/>
          <w:tab w:val="left" w:pos="30"/>
        </w:tabs>
        <w:spacing w:line="100" w:lineRule="atLeast"/>
        <w:jc w:val="both"/>
      </w:pPr>
    </w:p>
    <w:p w14:paraId="35B5EDC8" w14:textId="77777777" w:rsidR="00F7147C" w:rsidRDefault="00F7147C" w:rsidP="00696D68">
      <w:pPr>
        <w:pStyle w:val="Standard"/>
        <w:shd w:val="clear" w:color="auto" w:fill="FFFFFF"/>
        <w:tabs>
          <w:tab w:val="left" w:pos="-195"/>
          <w:tab w:val="left" w:pos="30"/>
        </w:tabs>
        <w:spacing w:line="100" w:lineRule="atLeast"/>
        <w:jc w:val="both"/>
      </w:pPr>
    </w:p>
    <w:p w14:paraId="1F6FD984" w14:textId="77777777" w:rsidR="00F7147C" w:rsidRDefault="00F7147C" w:rsidP="00696D68">
      <w:pPr>
        <w:pStyle w:val="Standard"/>
        <w:shd w:val="clear" w:color="auto" w:fill="FFFFFF"/>
        <w:tabs>
          <w:tab w:val="left" w:pos="-195"/>
          <w:tab w:val="left" w:pos="30"/>
        </w:tabs>
        <w:spacing w:line="100" w:lineRule="atLeast"/>
        <w:jc w:val="both"/>
      </w:pPr>
    </w:p>
    <w:p w14:paraId="20F857D9" w14:textId="77777777" w:rsidR="00F7147C" w:rsidRDefault="00F7147C" w:rsidP="00696D68">
      <w:pPr>
        <w:pStyle w:val="Standard"/>
        <w:shd w:val="clear" w:color="auto" w:fill="FFFFFF"/>
        <w:tabs>
          <w:tab w:val="left" w:pos="-195"/>
          <w:tab w:val="left" w:pos="30"/>
        </w:tabs>
        <w:spacing w:line="100" w:lineRule="atLeast"/>
        <w:jc w:val="both"/>
      </w:pPr>
    </w:p>
    <w:p w14:paraId="724EF0D4" w14:textId="77777777" w:rsidR="00F7147C" w:rsidRDefault="00F7147C" w:rsidP="00696D68">
      <w:pPr>
        <w:pStyle w:val="Standard"/>
        <w:shd w:val="clear" w:color="auto" w:fill="FFFFFF"/>
        <w:tabs>
          <w:tab w:val="left" w:pos="-195"/>
          <w:tab w:val="left" w:pos="30"/>
        </w:tabs>
        <w:spacing w:line="100" w:lineRule="atLeast"/>
        <w:jc w:val="both"/>
      </w:pPr>
    </w:p>
    <w:p w14:paraId="5979DC6A" w14:textId="77777777" w:rsidR="00F7147C" w:rsidRDefault="00F7147C" w:rsidP="00696D68">
      <w:pPr>
        <w:pStyle w:val="Standard"/>
        <w:shd w:val="clear" w:color="auto" w:fill="FFFFFF"/>
        <w:tabs>
          <w:tab w:val="left" w:pos="-195"/>
          <w:tab w:val="left" w:pos="30"/>
        </w:tabs>
        <w:spacing w:line="100" w:lineRule="atLeast"/>
        <w:jc w:val="both"/>
      </w:pPr>
    </w:p>
    <w:p w14:paraId="3309C1D3" w14:textId="77777777" w:rsidR="00F7147C" w:rsidRDefault="00F7147C" w:rsidP="00696D68">
      <w:pPr>
        <w:pStyle w:val="Standard"/>
        <w:shd w:val="clear" w:color="auto" w:fill="FFFFFF"/>
        <w:tabs>
          <w:tab w:val="left" w:pos="-195"/>
          <w:tab w:val="left" w:pos="30"/>
        </w:tabs>
        <w:spacing w:line="100" w:lineRule="atLeast"/>
        <w:jc w:val="both"/>
      </w:pPr>
    </w:p>
    <w:p w14:paraId="185D8409" w14:textId="77777777" w:rsidR="00F7147C" w:rsidRDefault="00F7147C" w:rsidP="00F7147C">
      <w:pPr>
        <w:pStyle w:val="Standard"/>
        <w:shd w:val="clear" w:color="auto" w:fill="FFFFFF"/>
        <w:tabs>
          <w:tab w:val="left" w:pos="-195"/>
          <w:tab w:val="left" w:pos="30"/>
        </w:tabs>
        <w:spacing w:line="100" w:lineRule="atLeast"/>
        <w:jc w:val="right"/>
      </w:pPr>
    </w:p>
    <w:p w14:paraId="569F1294" w14:textId="77777777" w:rsidR="00F7147C" w:rsidRDefault="00F7147C" w:rsidP="00F7147C">
      <w:pPr>
        <w:pStyle w:val="Standard"/>
        <w:shd w:val="clear" w:color="auto" w:fill="FFFFFF"/>
        <w:tabs>
          <w:tab w:val="left" w:pos="-195"/>
          <w:tab w:val="left" w:pos="30"/>
        </w:tabs>
        <w:spacing w:line="100" w:lineRule="atLeast"/>
        <w:jc w:val="right"/>
      </w:pPr>
    </w:p>
    <w:p w14:paraId="2F989248" w14:textId="77777777" w:rsidR="00F7147C" w:rsidRDefault="00F7147C" w:rsidP="00F7147C">
      <w:pPr>
        <w:pStyle w:val="Standard"/>
        <w:shd w:val="clear" w:color="auto" w:fill="FFFFFF"/>
        <w:tabs>
          <w:tab w:val="left" w:pos="-195"/>
          <w:tab w:val="left" w:pos="30"/>
        </w:tabs>
        <w:spacing w:line="100" w:lineRule="atLeast"/>
        <w:jc w:val="right"/>
      </w:pPr>
    </w:p>
    <w:p w14:paraId="0B3097D2" w14:textId="77777777" w:rsidR="00F7147C" w:rsidRDefault="00F7147C" w:rsidP="00F7147C">
      <w:pPr>
        <w:pStyle w:val="Standard"/>
        <w:shd w:val="clear" w:color="auto" w:fill="FFFFFF"/>
        <w:tabs>
          <w:tab w:val="left" w:pos="-195"/>
          <w:tab w:val="left" w:pos="30"/>
        </w:tabs>
        <w:spacing w:line="100" w:lineRule="atLeast"/>
        <w:jc w:val="right"/>
      </w:pPr>
    </w:p>
    <w:p w14:paraId="623D0796" w14:textId="77777777" w:rsidR="00F7147C" w:rsidRDefault="00F7147C" w:rsidP="00F7147C">
      <w:pPr>
        <w:pStyle w:val="Standard"/>
        <w:shd w:val="clear" w:color="auto" w:fill="FFFFFF"/>
        <w:tabs>
          <w:tab w:val="left" w:pos="-195"/>
          <w:tab w:val="left" w:pos="30"/>
        </w:tabs>
        <w:spacing w:line="100" w:lineRule="atLeast"/>
        <w:jc w:val="right"/>
      </w:pPr>
    </w:p>
    <w:p w14:paraId="5A58FD73" w14:textId="77777777" w:rsidR="00F7147C" w:rsidRDefault="00F7147C" w:rsidP="00F7147C">
      <w:pPr>
        <w:pStyle w:val="Standard"/>
        <w:shd w:val="clear" w:color="auto" w:fill="FFFFFF"/>
        <w:tabs>
          <w:tab w:val="left" w:pos="-195"/>
          <w:tab w:val="left" w:pos="30"/>
        </w:tabs>
        <w:spacing w:line="100" w:lineRule="atLeast"/>
        <w:jc w:val="right"/>
      </w:pPr>
    </w:p>
    <w:p w14:paraId="23001D90" w14:textId="77777777" w:rsidR="00FD4953" w:rsidRDefault="00F7147C" w:rsidP="00F7147C">
      <w:pPr>
        <w:pStyle w:val="Standard"/>
        <w:shd w:val="clear" w:color="auto" w:fill="FFFFFF"/>
        <w:tabs>
          <w:tab w:val="left" w:pos="-195"/>
          <w:tab w:val="left" w:pos="30"/>
        </w:tabs>
        <w:spacing w:line="100" w:lineRule="atLeast"/>
        <w:jc w:val="right"/>
      </w:pPr>
      <w:r>
        <w:t>62</w:t>
      </w:r>
    </w:p>
    <w:p w14:paraId="567AEFA8" w14:textId="77777777" w:rsidR="0025231A" w:rsidRDefault="0025231A" w:rsidP="00F7147C">
      <w:pPr>
        <w:pStyle w:val="Standard"/>
        <w:shd w:val="clear" w:color="auto" w:fill="FFFFFF"/>
        <w:tabs>
          <w:tab w:val="left" w:pos="-195"/>
          <w:tab w:val="left" w:pos="30"/>
        </w:tabs>
        <w:spacing w:line="100" w:lineRule="atLeast"/>
        <w:jc w:val="right"/>
      </w:pPr>
      <w:r>
        <w:rPr>
          <w:noProof/>
          <w:lang w:val="es-CR" w:eastAsia="es-CR"/>
        </w:rPr>
        <w:lastRenderedPageBreak/>
        <w:drawing>
          <wp:anchor distT="0" distB="0" distL="114300" distR="114300" simplePos="0" relativeHeight="251863040" behindDoc="0" locked="0" layoutInCell="1" allowOverlap="1" wp14:anchorId="3F7EDFA5" wp14:editId="01569A28">
            <wp:simplePos x="0" y="0"/>
            <wp:positionH relativeFrom="column">
              <wp:posOffset>-287655</wp:posOffset>
            </wp:positionH>
            <wp:positionV relativeFrom="paragraph">
              <wp:posOffset>0</wp:posOffset>
            </wp:positionV>
            <wp:extent cx="5745480" cy="7262495"/>
            <wp:effectExtent l="0" t="0" r="762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stado de Resultados dic 2017 - 2018_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45480" cy="7262495"/>
                    </a:xfrm>
                    <a:prstGeom prst="rect">
                      <a:avLst/>
                    </a:prstGeom>
                  </pic:spPr>
                </pic:pic>
              </a:graphicData>
            </a:graphic>
          </wp:anchor>
        </w:drawing>
      </w:r>
      <w:r w:rsidR="00F7147C">
        <w:t>63</w:t>
      </w:r>
    </w:p>
    <w:p w14:paraId="4548F1C6" w14:textId="77777777" w:rsidR="00FC3ABE" w:rsidRDefault="00FC3ABE" w:rsidP="00696D68">
      <w:pPr>
        <w:pStyle w:val="Standard"/>
        <w:shd w:val="clear" w:color="auto" w:fill="FFFFFF"/>
        <w:tabs>
          <w:tab w:val="left" w:pos="-195"/>
          <w:tab w:val="left" w:pos="30"/>
        </w:tabs>
        <w:spacing w:line="100" w:lineRule="atLeast"/>
        <w:jc w:val="both"/>
      </w:pPr>
    </w:p>
    <w:p w14:paraId="1A70086E" w14:textId="77777777" w:rsidR="00FC3ABE" w:rsidRDefault="00FC3ABE" w:rsidP="00696D68">
      <w:pPr>
        <w:pStyle w:val="Standard"/>
        <w:shd w:val="clear" w:color="auto" w:fill="FFFFFF"/>
        <w:tabs>
          <w:tab w:val="left" w:pos="-195"/>
          <w:tab w:val="left" w:pos="30"/>
        </w:tabs>
        <w:spacing w:line="100" w:lineRule="atLeast"/>
        <w:jc w:val="both"/>
      </w:pPr>
      <w:r>
        <w:rPr>
          <w:noProof/>
          <w:lang w:val="es-CR" w:eastAsia="es-CR"/>
        </w:rPr>
        <w:lastRenderedPageBreak/>
        <w:drawing>
          <wp:anchor distT="0" distB="0" distL="114300" distR="114300" simplePos="0" relativeHeight="251837440" behindDoc="0" locked="0" layoutInCell="1" allowOverlap="1" wp14:anchorId="7264A281" wp14:editId="19BB34FD">
            <wp:simplePos x="0" y="0"/>
            <wp:positionH relativeFrom="margin">
              <wp:posOffset>-348615</wp:posOffset>
            </wp:positionH>
            <wp:positionV relativeFrom="paragraph">
              <wp:posOffset>0</wp:posOffset>
            </wp:positionV>
            <wp:extent cx="6004560" cy="6783705"/>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stado de Resultados dic 2017 - 2018_00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04560" cy="6783705"/>
                    </a:xfrm>
                    <a:prstGeom prst="rect">
                      <a:avLst/>
                    </a:prstGeom>
                  </pic:spPr>
                </pic:pic>
              </a:graphicData>
            </a:graphic>
            <wp14:sizeRelH relativeFrom="margin">
              <wp14:pctWidth>0</wp14:pctWidth>
            </wp14:sizeRelH>
            <wp14:sizeRelV relativeFrom="margin">
              <wp14:pctHeight>0</wp14:pctHeight>
            </wp14:sizeRelV>
          </wp:anchor>
        </w:drawing>
      </w:r>
    </w:p>
    <w:p w14:paraId="57003316" w14:textId="77777777" w:rsidR="00FC3ABE" w:rsidRDefault="00FC3ABE" w:rsidP="00696D68">
      <w:pPr>
        <w:pStyle w:val="Standard"/>
        <w:shd w:val="clear" w:color="auto" w:fill="FFFFFF"/>
        <w:tabs>
          <w:tab w:val="left" w:pos="-195"/>
          <w:tab w:val="left" w:pos="30"/>
        </w:tabs>
        <w:spacing w:line="100" w:lineRule="atLeast"/>
        <w:jc w:val="both"/>
      </w:pPr>
    </w:p>
    <w:p w14:paraId="3DB4A5A3" w14:textId="77777777" w:rsidR="00FC3ABE" w:rsidRDefault="00F7147C" w:rsidP="00F7147C">
      <w:pPr>
        <w:pStyle w:val="Standard"/>
        <w:shd w:val="clear" w:color="auto" w:fill="FFFFFF"/>
        <w:tabs>
          <w:tab w:val="left" w:pos="-195"/>
          <w:tab w:val="left" w:pos="30"/>
        </w:tabs>
        <w:spacing w:line="100" w:lineRule="atLeast"/>
        <w:jc w:val="right"/>
      </w:pPr>
      <w:r>
        <w:t>64</w:t>
      </w:r>
    </w:p>
    <w:p w14:paraId="56434577" w14:textId="77777777" w:rsidR="00FC3ABE" w:rsidRDefault="00FC3ABE" w:rsidP="00696D68">
      <w:pPr>
        <w:pStyle w:val="Standard"/>
        <w:shd w:val="clear" w:color="auto" w:fill="FFFFFF"/>
        <w:tabs>
          <w:tab w:val="left" w:pos="-195"/>
          <w:tab w:val="left" w:pos="30"/>
        </w:tabs>
        <w:spacing w:line="100" w:lineRule="atLeast"/>
        <w:jc w:val="both"/>
      </w:pPr>
    </w:p>
    <w:p w14:paraId="6DCCCB9B" w14:textId="77777777" w:rsidR="00FC3ABE" w:rsidRDefault="00050920" w:rsidP="00696D68">
      <w:pPr>
        <w:pStyle w:val="Standard"/>
        <w:shd w:val="clear" w:color="auto" w:fill="FFFFFF"/>
        <w:tabs>
          <w:tab w:val="left" w:pos="-195"/>
          <w:tab w:val="left" w:pos="30"/>
        </w:tabs>
        <w:spacing w:line="100" w:lineRule="atLeast"/>
        <w:jc w:val="both"/>
      </w:pPr>
      <w:r>
        <w:rPr>
          <w:noProof/>
          <w:lang w:val="es-CR" w:eastAsia="es-CR"/>
        </w:rPr>
        <w:lastRenderedPageBreak/>
        <w:drawing>
          <wp:anchor distT="0" distB="0" distL="114300" distR="114300" simplePos="0" relativeHeight="251838464" behindDoc="0" locked="0" layoutInCell="1" allowOverlap="1" wp14:anchorId="3DEC922C" wp14:editId="37B067AB">
            <wp:simplePos x="0" y="0"/>
            <wp:positionH relativeFrom="margin">
              <wp:posOffset>451485</wp:posOffset>
            </wp:positionH>
            <wp:positionV relativeFrom="paragraph">
              <wp:posOffset>0</wp:posOffset>
            </wp:positionV>
            <wp:extent cx="5029200" cy="543306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stado de Resultados dic 2017 - 2018_00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29200" cy="5433060"/>
                    </a:xfrm>
                    <a:prstGeom prst="rect">
                      <a:avLst/>
                    </a:prstGeom>
                  </pic:spPr>
                </pic:pic>
              </a:graphicData>
            </a:graphic>
            <wp14:sizeRelH relativeFrom="margin">
              <wp14:pctWidth>0</wp14:pctWidth>
            </wp14:sizeRelH>
            <wp14:sizeRelV relativeFrom="margin">
              <wp14:pctHeight>0</wp14:pctHeight>
            </wp14:sizeRelV>
          </wp:anchor>
        </w:drawing>
      </w:r>
    </w:p>
    <w:p w14:paraId="64ABF04B" w14:textId="77777777" w:rsidR="00FC3ABE" w:rsidRDefault="00FC3ABE" w:rsidP="00696D68">
      <w:pPr>
        <w:pStyle w:val="Standard"/>
        <w:shd w:val="clear" w:color="auto" w:fill="FFFFFF"/>
        <w:tabs>
          <w:tab w:val="left" w:pos="-195"/>
          <w:tab w:val="left" w:pos="30"/>
        </w:tabs>
        <w:spacing w:line="100" w:lineRule="atLeast"/>
        <w:jc w:val="both"/>
      </w:pPr>
    </w:p>
    <w:p w14:paraId="332E582B" w14:textId="77777777" w:rsidR="00FC3ABE" w:rsidRDefault="00FC3ABE" w:rsidP="00696D68">
      <w:pPr>
        <w:pStyle w:val="Standard"/>
        <w:shd w:val="clear" w:color="auto" w:fill="FFFFFF"/>
        <w:tabs>
          <w:tab w:val="left" w:pos="-195"/>
          <w:tab w:val="left" w:pos="30"/>
        </w:tabs>
        <w:spacing w:line="100" w:lineRule="atLeast"/>
        <w:jc w:val="both"/>
      </w:pPr>
    </w:p>
    <w:p w14:paraId="13F94B2E" w14:textId="77777777" w:rsidR="00FC3ABE" w:rsidRDefault="00FC3ABE" w:rsidP="00696D68">
      <w:pPr>
        <w:pStyle w:val="Standard"/>
        <w:shd w:val="clear" w:color="auto" w:fill="FFFFFF"/>
        <w:tabs>
          <w:tab w:val="left" w:pos="-195"/>
          <w:tab w:val="left" w:pos="30"/>
        </w:tabs>
        <w:spacing w:line="100" w:lineRule="atLeast"/>
        <w:jc w:val="both"/>
      </w:pPr>
    </w:p>
    <w:p w14:paraId="5DC5EA38" w14:textId="77777777" w:rsidR="00FC3ABE" w:rsidRDefault="00FC3ABE" w:rsidP="00696D68">
      <w:pPr>
        <w:pStyle w:val="Standard"/>
        <w:shd w:val="clear" w:color="auto" w:fill="FFFFFF"/>
        <w:tabs>
          <w:tab w:val="left" w:pos="-195"/>
          <w:tab w:val="left" w:pos="30"/>
        </w:tabs>
        <w:spacing w:line="100" w:lineRule="atLeast"/>
        <w:jc w:val="both"/>
      </w:pPr>
    </w:p>
    <w:p w14:paraId="0CB73D44" w14:textId="77777777" w:rsidR="00FC3ABE" w:rsidRDefault="00FC3ABE" w:rsidP="00696D68">
      <w:pPr>
        <w:pStyle w:val="Standard"/>
        <w:shd w:val="clear" w:color="auto" w:fill="FFFFFF"/>
        <w:tabs>
          <w:tab w:val="left" w:pos="-195"/>
          <w:tab w:val="left" w:pos="30"/>
        </w:tabs>
        <w:spacing w:line="100" w:lineRule="atLeast"/>
        <w:jc w:val="both"/>
      </w:pPr>
    </w:p>
    <w:p w14:paraId="6CB601CA" w14:textId="77777777" w:rsidR="00FC3ABE" w:rsidRDefault="00FC3ABE" w:rsidP="00696D68">
      <w:pPr>
        <w:pStyle w:val="Standard"/>
        <w:shd w:val="clear" w:color="auto" w:fill="FFFFFF"/>
        <w:tabs>
          <w:tab w:val="left" w:pos="-195"/>
          <w:tab w:val="left" w:pos="30"/>
        </w:tabs>
        <w:spacing w:line="100" w:lineRule="atLeast"/>
        <w:jc w:val="both"/>
      </w:pPr>
    </w:p>
    <w:p w14:paraId="1D6F830B" w14:textId="77777777" w:rsidR="00FC3ABE" w:rsidRDefault="00FC3ABE" w:rsidP="00696D68">
      <w:pPr>
        <w:pStyle w:val="Standard"/>
        <w:shd w:val="clear" w:color="auto" w:fill="FFFFFF"/>
        <w:tabs>
          <w:tab w:val="left" w:pos="-195"/>
          <w:tab w:val="left" w:pos="30"/>
        </w:tabs>
        <w:spacing w:line="100" w:lineRule="atLeast"/>
        <w:jc w:val="both"/>
      </w:pPr>
    </w:p>
    <w:p w14:paraId="5A02FCC2" w14:textId="77777777" w:rsidR="00FC3ABE" w:rsidRDefault="00FC3ABE" w:rsidP="00696D68">
      <w:pPr>
        <w:pStyle w:val="Standard"/>
        <w:shd w:val="clear" w:color="auto" w:fill="FFFFFF"/>
        <w:tabs>
          <w:tab w:val="left" w:pos="-195"/>
          <w:tab w:val="left" w:pos="30"/>
        </w:tabs>
        <w:spacing w:line="100" w:lineRule="atLeast"/>
        <w:jc w:val="both"/>
      </w:pPr>
    </w:p>
    <w:p w14:paraId="3FA78E6B" w14:textId="77777777" w:rsidR="00FC3ABE" w:rsidRDefault="00FC3ABE" w:rsidP="00696D68">
      <w:pPr>
        <w:pStyle w:val="Standard"/>
        <w:shd w:val="clear" w:color="auto" w:fill="FFFFFF"/>
        <w:tabs>
          <w:tab w:val="left" w:pos="-195"/>
          <w:tab w:val="left" w:pos="30"/>
        </w:tabs>
        <w:spacing w:line="100" w:lineRule="atLeast"/>
        <w:jc w:val="both"/>
      </w:pPr>
    </w:p>
    <w:p w14:paraId="1A0F86F3" w14:textId="77777777" w:rsidR="00FC3ABE" w:rsidRDefault="00FC3ABE" w:rsidP="00696D68">
      <w:pPr>
        <w:pStyle w:val="Standard"/>
        <w:shd w:val="clear" w:color="auto" w:fill="FFFFFF"/>
        <w:tabs>
          <w:tab w:val="left" w:pos="-195"/>
          <w:tab w:val="left" w:pos="30"/>
        </w:tabs>
        <w:spacing w:line="100" w:lineRule="atLeast"/>
        <w:jc w:val="both"/>
      </w:pPr>
    </w:p>
    <w:p w14:paraId="60B8D737" w14:textId="77777777" w:rsidR="00FC3ABE" w:rsidRDefault="00FC3ABE" w:rsidP="00696D68">
      <w:pPr>
        <w:pStyle w:val="Standard"/>
        <w:shd w:val="clear" w:color="auto" w:fill="FFFFFF"/>
        <w:tabs>
          <w:tab w:val="left" w:pos="-195"/>
          <w:tab w:val="left" w:pos="30"/>
        </w:tabs>
        <w:spacing w:line="100" w:lineRule="atLeast"/>
        <w:jc w:val="both"/>
      </w:pPr>
    </w:p>
    <w:p w14:paraId="2E254900" w14:textId="77777777" w:rsidR="00FC3ABE" w:rsidRDefault="00FC3ABE" w:rsidP="00696D68">
      <w:pPr>
        <w:pStyle w:val="Standard"/>
        <w:shd w:val="clear" w:color="auto" w:fill="FFFFFF"/>
        <w:tabs>
          <w:tab w:val="left" w:pos="-195"/>
          <w:tab w:val="left" w:pos="30"/>
        </w:tabs>
        <w:spacing w:line="100" w:lineRule="atLeast"/>
        <w:jc w:val="both"/>
      </w:pPr>
    </w:p>
    <w:p w14:paraId="676E4DAE" w14:textId="77777777" w:rsidR="00FC3ABE" w:rsidRDefault="00FC3ABE" w:rsidP="00696D68">
      <w:pPr>
        <w:pStyle w:val="Standard"/>
        <w:shd w:val="clear" w:color="auto" w:fill="FFFFFF"/>
        <w:tabs>
          <w:tab w:val="left" w:pos="-195"/>
          <w:tab w:val="left" w:pos="30"/>
        </w:tabs>
        <w:spacing w:line="100" w:lineRule="atLeast"/>
        <w:jc w:val="both"/>
      </w:pPr>
    </w:p>
    <w:p w14:paraId="0DA6ED65" w14:textId="77777777" w:rsidR="00FC3ABE" w:rsidRDefault="00FC3ABE" w:rsidP="00696D68">
      <w:pPr>
        <w:pStyle w:val="Standard"/>
        <w:shd w:val="clear" w:color="auto" w:fill="FFFFFF"/>
        <w:tabs>
          <w:tab w:val="left" w:pos="-195"/>
          <w:tab w:val="left" w:pos="30"/>
        </w:tabs>
        <w:spacing w:line="100" w:lineRule="atLeast"/>
        <w:jc w:val="both"/>
      </w:pPr>
    </w:p>
    <w:p w14:paraId="57EE05B8" w14:textId="77777777" w:rsidR="00FC3ABE" w:rsidRDefault="00FC3ABE" w:rsidP="00696D68">
      <w:pPr>
        <w:pStyle w:val="Standard"/>
        <w:shd w:val="clear" w:color="auto" w:fill="FFFFFF"/>
        <w:tabs>
          <w:tab w:val="left" w:pos="-195"/>
          <w:tab w:val="left" w:pos="30"/>
        </w:tabs>
        <w:spacing w:line="100" w:lineRule="atLeast"/>
        <w:jc w:val="both"/>
      </w:pPr>
    </w:p>
    <w:p w14:paraId="615E4F5D" w14:textId="77777777" w:rsidR="00FC3ABE" w:rsidRDefault="00FC3ABE" w:rsidP="00696D68">
      <w:pPr>
        <w:pStyle w:val="Standard"/>
        <w:shd w:val="clear" w:color="auto" w:fill="FFFFFF"/>
        <w:tabs>
          <w:tab w:val="left" w:pos="-195"/>
          <w:tab w:val="left" w:pos="30"/>
        </w:tabs>
        <w:spacing w:line="100" w:lineRule="atLeast"/>
        <w:jc w:val="both"/>
      </w:pPr>
    </w:p>
    <w:p w14:paraId="7A1795B9" w14:textId="77777777" w:rsidR="00FC3ABE" w:rsidRDefault="00FC3ABE" w:rsidP="00696D68">
      <w:pPr>
        <w:pStyle w:val="Standard"/>
        <w:shd w:val="clear" w:color="auto" w:fill="FFFFFF"/>
        <w:tabs>
          <w:tab w:val="left" w:pos="-195"/>
          <w:tab w:val="left" w:pos="30"/>
        </w:tabs>
        <w:spacing w:line="100" w:lineRule="atLeast"/>
        <w:jc w:val="both"/>
      </w:pPr>
    </w:p>
    <w:p w14:paraId="75D7CC78" w14:textId="77777777" w:rsidR="00FC3ABE" w:rsidRDefault="00FC3ABE" w:rsidP="00696D68">
      <w:pPr>
        <w:pStyle w:val="Standard"/>
        <w:shd w:val="clear" w:color="auto" w:fill="FFFFFF"/>
        <w:tabs>
          <w:tab w:val="left" w:pos="-195"/>
          <w:tab w:val="left" w:pos="30"/>
        </w:tabs>
        <w:spacing w:line="100" w:lineRule="atLeast"/>
        <w:jc w:val="both"/>
      </w:pPr>
    </w:p>
    <w:p w14:paraId="72CC17F1" w14:textId="77777777" w:rsidR="00FC3ABE" w:rsidRDefault="00FC3ABE" w:rsidP="00696D68">
      <w:pPr>
        <w:pStyle w:val="Standard"/>
        <w:shd w:val="clear" w:color="auto" w:fill="FFFFFF"/>
        <w:tabs>
          <w:tab w:val="left" w:pos="-195"/>
          <w:tab w:val="left" w:pos="30"/>
        </w:tabs>
        <w:spacing w:line="100" w:lineRule="atLeast"/>
        <w:jc w:val="both"/>
      </w:pPr>
    </w:p>
    <w:p w14:paraId="1ABF7E9A" w14:textId="77777777" w:rsidR="00FC3ABE" w:rsidRDefault="00FC3ABE" w:rsidP="00696D68">
      <w:pPr>
        <w:pStyle w:val="Standard"/>
        <w:shd w:val="clear" w:color="auto" w:fill="FFFFFF"/>
        <w:tabs>
          <w:tab w:val="left" w:pos="-195"/>
          <w:tab w:val="left" w:pos="30"/>
        </w:tabs>
        <w:spacing w:line="100" w:lineRule="atLeast"/>
        <w:jc w:val="both"/>
      </w:pPr>
    </w:p>
    <w:p w14:paraId="3F688BC6" w14:textId="77777777" w:rsidR="00FC3ABE" w:rsidRDefault="00FC3ABE" w:rsidP="00696D68">
      <w:pPr>
        <w:pStyle w:val="Standard"/>
        <w:shd w:val="clear" w:color="auto" w:fill="FFFFFF"/>
        <w:tabs>
          <w:tab w:val="left" w:pos="-195"/>
          <w:tab w:val="left" w:pos="30"/>
        </w:tabs>
        <w:spacing w:line="100" w:lineRule="atLeast"/>
        <w:jc w:val="both"/>
      </w:pPr>
    </w:p>
    <w:p w14:paraId="28C6FCC1" w14:textId="77777777" w:rsidR="00FC3ABE" w:rsidRDefault="00FC3ABE" w:rsidP="00696D68">
      <w:pPr>
        <w:pStyle w:val="Standard"/>
        <w:shd w:val="clear" w:color="auto" w:fill="FFFFFF"/>
        <w:tabs>
          <w:tab w:val="left" w:pos="-195"/>
          <w:tab w:val="left" w:pos="30"/>
        </w:tabs>
        <w:spacing w:line="100" w:lineRule="atLeast"/>
        <w:jc w:val="both"/>
      </w:pPr>
    </w:p>
    <w:p w14:paraId="74DB3913" w14:textId="77777777" w:rsidR="00FC3ABE" w:rsidRDefault="00FC3ABE" w:rsidP="00696D68">
      <w:pPr>
        <w:pStyle w:val="Standard"/>
        <w:shd w:val="clear" w:color="auto" w:fill="FFFFFF"/>
        <w:tabs>
          <w:tab w:val="left" w:pos="-195"/>
          <w:tab w:val="left" w:pos="30"/>
        </w:tabs>
        <w:spacing w:line="100" w:lineRule="atLeast"/>
        <w:jc w:val="both"/>
      </w:pPr>
    </w:p>
    <w:p w14:paraId="19297A40" w14:textId="77777777" w:rsidR="00FC3ABE" w:rsidRDefault="00FC3ABE" w:rsidP="00696D68">
      <w:pPr>
        <w:pStyle w:val="Standard"/>
        <w:shd w:val="clear" w:color="auto" w:fill="FFFFFF"/>
        <w:tabs>
          <w:tab w:val="left" w:pos="-195"/>
          <w:tab w:val="left" w:pos="30"/>
        </w:tabs>
        <w:spacing w:line="100" w:lineRule="atLeast"/>
        <w:jc w:val="both"/>
      </w:pPr>
    </w:p>
    <w:p w14:paraId="6743B5E6" w14:textId="77777777" w:rsidR="00FC3ABE" w:rsidRDefault="00FC3ABE" w:rsidP="00696D68">
      <w:pPr>
        <w:pStyle w:val="Standard"/>
        <w:shd w:val="clear" w:color="auto" w:fill="FFFFFF"/>
        <w:tabs>
          <w:tab w:val="left" w:pos="-195"/>
          <w:tab w:val="left" w:pos="30"/>
        </w:tabs>
        <w:spacing w:line="100" w:lineRule="atLeast"/>
        <w:jc w:val="both"/>
      </w:pPr>
    </w:p>
    <w:p w14:paraId="2BA631CA" w14:textId="77777777" w:rsidR="00FC3ABE" w:rsidRDefault="00FC3ABE" w:rsidP="00696D68">
      <w:pPr>
        <w:pStyle w:val="Standard"/>
        <w:shd w:val="clear" w:color="auto" w:fill="FFFFFF"/>
        <w:tabs>
          <w:tab w:val="left" w:pos="-195"/>
          <w:tab w:val="left" w:pos="30"/>
        </w:tabs>
        <w:spacing w:line="100" w:lineRule="atLeast"/>
        <w:jc w:val="both"/>
      </w:pPr>
    </w:p>
    <w:p w14:paraId="21D0E82E" w14:textId="77777777" w:rsidR="00FC3ABE" w:rsidRDefault="00FC3ABE" w:rsidP="00696D68">
      <w:pPr>
        <w:pStyle w:val="Standard"/>
        <w:shd w:val="clear" w:color="auto" w:fill="FFFFFF"/>
        <w:tabs>
          <w:tab w:val="left" w:pos="-195"/>
          <w:tab w:val="left" w:pos="30"/>
        </w:tabs>
        <w:spacing w:line="100" w:lineRule="atLeast"/>
        <w:jc w:val="both"/>
      </w:pPr>
    </w:p>
    <w:p w14:paraId="6667DF5C" w14:textId="77777777" w:rsidR="00FC3ABE" w:rsidRDefault="00FC3ABE" w:rsidP="00696D68">
      <w:pPr>
        <w:pStyle w:val="Standard"/>
        <w:shd w:val="clear" w:color="auto" w:fill="FFFFFF"/>
        <w:tabs>
          <w:tab w:val="left" w:pos="-195"/>
          <w:tab w:val="left" w:pos="30"/>
        </w:tabs>
        <w:spacing w:line="100" w:lineRule="atLeast"/>
        <w:jc w:val="both"/>
      </w:pPr>
    </w:p>
    <w:p w14:paraId="39F0C488" w14:textId="77777777" w:rsidR="00FC3ABE" w:rsidRDefault="00FC3ABE" w:rsidP="00696D68">
      <w:pPr>
        <w:pStyle w:val="Standard"/>
        <w:shd w:val="clear" w:color="auto" w:fill="FFFFFF"/>
        <w:tabs>
          <w:tab w:val="left" w:pos="-195"/>
          <w:tab w:val="left" w:pos="30"/>
        </w:tabs>
        <w:spacing w:line="100" w:lineRule="atLeast"/>
        <w:jc w:val="both"/>
      </w:pPr>
    </w:p>
    <w:p w14:paraId="64B075C3" w14:textId="77777777" w:rsidR="00FC3ABE" w:rsidRDefault="00FC3ABE" w:rsidP="00696D68">
      <w:pPr>
        <w:pStyle w:val="Standard"/>
        <w:shd w:val="clear" w:color="auto" w:fill="FFFFFF"/>
        <w:tabs>
          <w:tab w:val="left" w:pos="-195"/>
          <w:tab w:val="left" w:pos="30"/>
        </w:tabs>
        <w:spacing w:line="100" w:lineRule="atLeast"/>
        <w:jc w:val="both"/>
      </w:pPr>
    </w:p>
    <w:p w14:paraId="60A2AA4E" w14:textId="77777777" w:rsidR="00FC3ABE" w:rsidRDefault="00FC3ABE" w:rsidP="00696D68">
      <w:pPr>
        <w:pStyle w:val="Standard"/>
        <w:shd w:val="clear" w:color="auto" w:fill="FFFFFF"/>
        <w:tabs>
          <w:tab w:val="left" w:pos="-195"/>
          <w:tab w:val="left" w:pos="30"/>
        </w:tabs>
        <w:spacing w:line="100" w:lineRule="atLeast"/>
        <w:jc w:val="both"/>
      </w:pPr>
    </w:p>
    <w:p w14:paraId="5B6C64D3" w14:textId="77777777" w:rsidR="00FC3ABE" w:rsidRDefault="00FC3ABE" w:rsidP="00696D68">
      <w:pPr>
        <w:pStyle w:val="Standard"/>
        <w:shd w:val="clear" w:color="auto" w:fill="FFFFFF"/>
        <w:tabs>
          <w:tab w:val="left" w:pos="-195"/>
          <w:tab w:val="left" w:pos="30"/>
        </w:tabs>
        <w:spacing w:line="100" w:lineRule="atLeast"/>
        <w:jc w:val="both"/>
      </w:pPr>
    </w:p>
    <w:p w14:paraId="6864E178" w14:textId="77777777" w:rsidR="00FC3ABE" w:rsidRDefault="00FC3ABE" w:rsidP="00696D68">
      <w:pPr>
        <w:pStyle w:val="Standard"/>
        <w:shd w:val="clear" w:color="auto" w:fill="FFFFFF"/>
        <w:tabs>
          <w:tab w:val="left" w:pos="-195"/>
          <w:tab w:val="left" w:pos="30"/>
        </w:tabs>
        <w:spacing w:line="100" w:lineRule="atLeast"/>
        <w:jc w:val="both"/>
      </w:pPr>
    </w:p>
    <w:p w14:paraId="012AAB3D" w14:textId="77777777" w:rsidR="00050920" w:rsidRDefault="00050920" w:rsidP="00696D68">
      <w:pPr>
        <w:pStyle w:val="Standard"/>
        <w:shd w:val="clear" w:color="auto" w:fill="FFFFFF"/>
        <w:tabs>
          <w:tab w:val="left" w:pos="-195"/>
          <w:tab w:val="left" w:pos="30"/>
        </w:tabs>
        <w:spacing w:line="100" w:lineRule="atLeast"/>
        <w:jc w:val="both"/>
      </w:pPr>
    </w:p>
    <w:p w14:paraId="5CF7F330" w14:textId="77777777" w:rsidR="00050920" w:rsidRDefault="00050920" w:rsidP="00696D68">
      <w:pPr>
        <w:pStyle w:val="Standard"/>
        <w:shd w:val="clear" w:color="auto" w:fill="FFFFFF"/>
        <w:tabs>
          <w:tab w:val="left" w:pos="-195"/>
          <w:tab w:val="left" w:pos="30"/>
        </w:tabs>
        <w:spacing w:line="100" w:lineRule="atLeast"/>
        <w:jc w:val="both"/>
      </w:pPr>
    </w:p>
    <w:p w14:paraId="2F3962D7" w14:textId="77777777" w:rsidR="00050920" w:rsidRDefault="00050920" w:rsidP="00696D68">
      <w:pPr>
        <w:pStyle w:val="Standard"/>
        <w:shd w:val="clear" w:color="auto" w:fill="FFFFFF"/>
        <w:tabs>
          <w:tab w:val="left" w:pos="-195"/>
          <w:tab w:val="left" w:pos="30"/>
        </w:tabs>
        <w:spacing w:line="100" w:lineRule="atLeast"/>
        <w:jc w:val="both"/>
      </w:pPr>
    </w:p>
    <w:p w14:paraId="47918E59" w14:textId="77777777" w:rsidR="00F7147C" w:rsidRDefault="00F7147C" w:rsidP="00F7147C">
      <w:pPr>
        <w:pStyle w:val="Standard"/>
        <w:shd w:val="clear" w:color="auto" w:fill="FFFFFF"/>
        <w:tabs>
          <w:tab w:val="left" w:pos="-195"/>
          <w:tab w:val="left" w:pos="30"/>
        </w:tabs>
        <w:spacing w:line="100" w:lineRule="atLeast"/>
        <w:jc w:val="right"/>
      </w:pPr>
    </w:p>
    <w:p w14:paraId="360EC7AC" w14:textId="77777777" w:rsidR="00F7147C" w:rsidRDefault="00F7147C" w:rsidP="00F7147C">
      <w:pPr>
        <w:pStyle w:val="Standard"/>
        <w:shd w:val="clear" w:color="auto" w:fill="FFFFFF"/>
        <w:tabs>
          <w:tab w:val="left" w:pos="-195"/>
          <w:tab w:val="left" w:pos="30"/>
        </w:tabs>
        <w:spacing w:line="100" w:lineRule="atLeast"/>
        <w:jc w:val="right"/>
      </w:pPr>
    </w:p>
    <w:p w14:paraId="700ED511" w14:textId="77777777" w:rsidR="00F7147C" w:rsidRDefault="00F7147C" w:rsidP="00F7147C">
      <w:pPr>
        <w:pStyle w:val="Standard"/>
        <w:shd w:val="clear" w:color="auto" w:fill="FFFFFF"/>
        <w:tabs>
          <w:tab w:val="left" w:pos="-195"/>
          <w:tab w:val="left" w:pos="30"/>
        </w:tabs>
        <w:spacing w:line="100" w:lineRule="atLeast"/>
        <w:jc w:val="right"/>
      </w:pPr>
    </w:p>
    <w:p w14:paraId="0410E73D" w14:textId="77777777" w:rsidR="00F7147C" w:rsidRDefault="00F7147C" w:rsidP="00F7147C">
      <w:pPr>
        <w:pStyle w:val="Standard"/>
        <w:shd w:val="clear" w:color="auto" w:fill="FFFFFF"/>
        <w:tabs>
          <w:tab w:val="left" w:pos="-195"/>
          <w:tab w:val="left" w:pos="30"/>
        </w:tabs>
        <w:spacing w:line="100" w:lineRule="atLeast"/>
        <w:jc w:val="right"/>
      </w:pPr>
    </w:p>
    <w:p w14:paraId="1783BE98" w14:textId="77777777" w:rsidR="00F7147C" w:rsidRDefault="00F7147C" w:rsidP="00F7147C">
      <w:pPr>
        <w:pStyle w:val="Standard"/>
        <w:shd w:val="clear" w:color="auto" w:fill="FFFFFF"/>
        <w:tabs>
          <w:tab w:val="left" w:pos="-195"/>
          <w:tab w:val="left" w:pos="30"/>
        </w:tabs>
        <w:spacing w:line="100" w:lineRule="atLeast"/>
        <w:jc w:val="right"/>
      </w:pPr>
    </w:p>
    <w:p w14:paraId="34337FDF" w14:textId="77777777" w:rsidR="00FC3ABE" w:rsidRDefault="00F7147C" w:rsidP="00F7147C">
      <w:pPr>
        <w:pStyle w:val="Standard"/>
        <w:shd w:val="clear" w:color="auto" w:fill="FFFFFF"/>
        <w:tabs>
          <w:tab w:val="left" w:pos="-195"/>
          <w:tab w:val="left" w:pos="30"/>
        </w:tabs>
        <w:spacing w:line="100" w:lineRule="atLeast"/>
        <w:jc w:val="right"/>
      </w:pPr>
      <w:r>
        <w:t>65</w:t>
      </w:r>
    </w:p>
    <w:p w14:paraId="36BD5FC2" w14:textId="77777777" w:rsidR="00FC3ABE" w:rsidRDefault="00F7147C" w:rsidP="00696D68">
      <w:pPr>
        <w:pStyle w:val="Standard"/>
        <w:shd w:val="clear" w:color="auto" w:fill="FFFFFF"/>
        <w:tabs>
          <w:tab w:val="left" w:pos="-195"/>
          <w:tab w:val="left" w:pos="30"/>
        </w:tabs>
        <w:spacing w:line="100" w:lineRule="atLeast"/>
        <w:jc w:val="both"/>
      </w:pPr>
      <w:r>
        <w:rPr>
          <w:noProof/>
          <w:lang w:val="es-CR" w:eastAsia="es-CR"/>
        </w:rPr>
        <w:lastRenderedPageBreak/>
        <w:drawing>
          <wp:anchor distT="0" distB="0" distL="114300" distR="114300" simplePos="0" relativeHeight="251864064" behindDoc="0" locked="0" layoutInCell="1" allowOverlap="1" wp14:anchorId="0585E21E" wp14:editId="7C4047F3">
            <wp:simplePos x="0" y="0"/>
            <wp:positionH relativeFrom="margin">
              <wp:align>center</wp:align>
            </wp:positionH>
            <wp:positionV relativeFrom="paragraph">
              <wp:posOffset>0</wp:posOffset>
            </wp:positionV>
            <wp:extent cx="5429250" cy="7026275"/>
            <wp:effectExtent l="0" t="0" r="0" b="317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stado de Resultados dic 2017 - 2018_00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29250" cy="7026275"/>
                    </a:xfrm>
                    <a:prstGeom prst="rect">
                      <a:avLst/>
                    </a:prstGeom>
                  </pic:spPr>
                </pic:pic>
              </a:graphicData>
            </a:graphic>
            <wp14:sizeRelH relativeFrom="margin">
              <wp14:pctWidth>0</wp14:pctWidth>
            </wp14:sizeRelH>
            <wp14:sizeRelV relativeFrom="margin">
              <wp14:pctHeight>0</wp14:pctHeight>
            </wp14:sizeRelV>
          </wp:anchor>
        </w:drawing>
      </w:r>
    </w:p>
    <w:p w14:paraId="1A0F75D6" w14:textId="77777777" w:rsidR="00FC3ABE" w:rsidRDefault="00FC3ABE" w:rsidP="00696D68">
      <w:pPr>
        <w:pStyle w:val="Standard"/>
        <w:shd w:val="clear" w:color="auto" w:fill="FFFFFF"/>
        <w:tabs>
          <w:tab w:val="left" w:pos="-195"/>
          <w:tab w:val="left" w:pos="30"/>
        </w:tabs>
        <w:spacing w:line="100" w:lineRule="atLeast"/>
        <w:jc w:val="both"/>
      </w:pPr>
    </w:p>
    <w:p w14:paraId="5E285CD8" w14:textId="77777777" w:rsidR="00050920" w:rsidRDefault="00F7147C" w:rsidP="00F7147C">
      <w:pPr>
        <w:pStyle w:val="Standard"/>
        <w:shd w:val="clear" w:color="auto" w:fill="FFFFFF"/>
        <w:tabs>
          <w:tab w:val="left" w:pos="-195"/>
          <w:tab w:val="left" w:pos="30"/>
        </w:tabs>
        <w:spacing w:line="100" w:lineRule="atLeast"/>
        <w:jc w:val="right"/>
      </w:pPr>
      <w:r>
        <w:t>66</w:t>
      </w:r>
    </w:p>
    <w:p w14:paraId="4D7EBCF5" w14:textId="77777777" w:rsidR="00050920" w:rsidRDefault="00F7147C" w:rsidP="00696D68">
      <w:pPr>
        <w:pStyle w:val="Standard"/>
        <w:shd w:val="clear" w:color="auto" w:fill="FFFFFF"/>
        <w:tabs>
          <w:tab w:val="left" w:pos="-195"/>
          <w:tab w:val="left" w:pos="30"/>
        </w:tabs>
        <w:spacing w:line="100" w:lineRule="atLeast"/>
        <w:jc w:val="both"/>
      </w:pPr>
      <w:r>
        <w:rPr>
          <w:noProof/>
          <w:lang w:val="es-CR" w:eastAsia="es-CR"/>
        </w:rPr>
        <w:lastRenderedPageBreak/>
        <w:drawing>
          <wp:anchor distT="0" distB="0" distL="114300" distR="114300" simplePos="0" relativeHeight="251865088" behindDoc="0" locked="0" layoutInCell="1" allowOverlap="1" wp14:anchorId="4915382D" wp14:editId="4E18FCC6">
            <wp:simplePos x="0" y="0"/>
            <wp:positionH relativeFrom="column">
              <wp:posOffset>-135255</wp:posOffset>
            </wp:positionH>
            <wp:positionV relativeFrom="paragraph">
              <wp:posOffset>0</wp:posOffset>
            </wp:positionV>
            <wp:extent cx="5120640" cy="6626225"/>
            <wp:effectExtent l="0" t="0" r="3810" b="317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stado de Resultados dic 2017 - 2018_00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120640" cy="6626225"/>
                    </a:xfrm>
                    <a:prstGeom prst="rect">
                      <a:avLst/>
                    </a:prstGeom>
                  </pic:spPr>
                </pic:pic>
              </a:graphicData>
            </a:graphic>
            <wp14:sizeRelH relativeFrom="margin">
              <wp14:pctWidth>0</wp14:pctWidth>
            </wp14:sizeRelH>
            <wp14:sizeRelV relativeFrom="margin">
              <wp14:pctHeight>0</wp14:pctHeight>
            </wp14:sizeRelV>
          </wp:anchor>
        </w:drawing>
      </w:r>
    </w:p>
    <w:p w14:paraId="1223F1D3" w14:textId="77777777" w:rsidR="00050920" w:rsidRDefault="00050920" w:rsidP="00696D68">
      <w:pPr>
        <w:pStyle w:val="Standard"/>
        <w:shd w:val="clear" w:color="auto" w:fill="FFFFFF"/>
        <w:tabs>
          <w:tab w:val="left" w:pos="-195"/>
          <w:tab w:val="left" w:pos="30"/>
        </w:tabs>
        <w:spacing w:line="100" w:lineRule="atLeast"/>
        <w:jc w:val="both"/>
      </w:pPr>
    </w:p>
    <w:p w14:paraId="0800F7EF" w14:textId="77777777" w:rsidR="00050920" w:rsidRDefault="00050920" w:rsidP="00696D68">
      <w:pPr>
        <w:pStyle w:val="Standard"/>
        <w:shd w:val="clear" w:color="auto" w:fill="FFFFFF"/>
        <w:tabs>
          <w:tab w:val="left" w:pos="-195"/>
          <w:tab w:val="left" w:pos="30"/>
        </w:tabs>
        <w:spacing w:line="100" w:lineRule="atLeast"/>
        <w:jc w:val="both"/>
      </w:pPr>
    </w:p>
    <w:p w14:paraId="28343BDB" w14:textId="77777777" w:rsidR="00FC3ABE" w:rsidRDefault="00FC3ABE" w:rsidP="00696D68">
      <w:pPr>
        <w:pStyle w:val="Standard"/>
        <w:shd w:val="clear" w:color="auto" w:fill="FFFFFF"/>
        <w:tabs>
          <w:tab w:val="left" w:pos="-195"/>
          <w:tab w:val="left" w:pos="30"/>
        </w:tabs>
        <w:spacing w:line="100" w:lineRule="atLeast"/>
        <w:jc w:val="both"/>
      </w:pPr>
    </w:p>
    <w:p w14:paraId="76E90497" w14:textId="77777777" w:rsidR="00050920" w:rsidRDefault="00050920" w:rsidP="00696D68">
      <w:pPr>
        <w:pStyle w:val="Standard"/>
        <w:shd w:val="clear" w:color="auto" w:fill="FFFFFF"/>
        <w:tabs>
          <w:tab w:val="left" w:pos="-195"/>
          <w:tab w:val="left" w:pos="30"/>
        </w:tabs>
        <w:spacing w:line="100" w:lineRule="atLeast"/>
        <w:jc w:val="both"/>
      </w:pPr>
    </w:p>
    <w:p w14:paraId="6462125C" w14:textId="77777777" w:rsidR="00F7147C" w:rsidRDefault="00F7147C" w:rsidP="00696D68">
      <w:pPr>
        <w:pStyle w:val="Standard"/>
        <w:shd w:val="clear" w:color="auto" w:fill="FFFFFF"/>
        <w:tabs>
          <w:tab w:val="left" w:pos="-195"/>
          <w:tab w:val="left" w:pos="30"/>
        </w:tabs>
        <w:spacing w:line="100" w:lineRule="atLeast"/>
        <w:jc w:val="both"/>
      </w:pPr>
    </w:p>
    <w:p w14:paraId="216736DB" w14:textId="77777777" w:rsidR="00F7147C" w:rsidRDefault="00F7147C" w:rsidP="00696D68">
      <w:pPr>
        <w:pStyle w:val="Standard"/>
        <w:shd w:val="clear" w:color="auto" w:fill="FFFFFF"/>
        <w:tabs>
          <w:tab w:val="left" w:pos="-195"/>
          <w:tab w:val="left" w:pos="30"/>
        </w:tabs>
        <w:spacing w:line="100" w:lineRule="atLeast"/>
        <w:jc w:val="both"/>
      </w:pPr>
    </w:p>
    <w:p w14:paraId="0FB02476" w14:textId="77777777" w:rsidR="00F7147C" w:rsidRDefault="00F7147C" w:rsidP="00696D68">
      <w:pPr>
        <w:pStyle w:val="Standard"/>
        <w:shd w:val="clear" w:color="auto" w:fill="FFFFFF"/>
        <w:tabs>
          <w:tab w:val="left" w:pos="-195"/>
          <w:tab w:val="left" w:pos="30"/>
        </w:tabs>
        <w:spacing w:line="100" w:lineRule="atLeast"/>
        <w:jc w:val="both"/>
      </w:pPr>
    </w:p>
    <w:p w14:paraId="73737F7B" w14:textId="77777777" w:rsidR="00F7147C" w:rsidRDefault="00F7147C" w:rsidP="00696D68">
      <w:pPr>
        <w:pStyle w:val="Standard"/>
        <w:shd w:val="clear" w:color="auto" w:fill="FFFFFF"/>
        <w:tabs>
          <w:tab w:val="left" w:pos="-195"/>
          <w:tab w:val="left" w:pos="30"/>
        </w:tabs>
        <w:spacing w:line="100" w:lineRule="atLeast"/>
        <w:jc w:val="both"/>
      </w:pPr>
    </w:p>
    <w:p w14:paraId="30EE8FDD" w14:textId="77777777" w:rsidR="00F7147C" w:rsidRDefault="00F7147C" w:rsidP="00696D68">
      <w:pPr>
        <w:pStyle w:val="Standard"/>
        <w:shd w:val="clear" w:color="auto" w:fill="FFFFFF"/>
        <w:tabs>
          <w:tab w:val="left" w:pos="-195"/>
          <w:tab w:val="left" w:pos="30"/>
        </w:tabs>
        <w:spacing w:line="100" w:lineRule="atLeast"/>
        <w:jc w:val="both"/>
      </w:pPr>
    </w:p>
    <w:p w14:paraId="4B11E6A1" w14:textId="77777777" w:rsidR="00F7147C" w:rsidRDefault="00F7147C" w:rsidP="00696D68">
      <w:pPr>
        <w:pStyle w:val="Standard"/>
        <w:shd w:val="clear" w:color="auto" w:fill="FFFFFF"/>
        <w:tabs>
          <w:tab w:val="left" w:pos="-195"/>
          <w:tab w:val="left" w:pos="30"/>
        </w:tabs>
        <w:spacing w:line="100" w:lineRule="atLeast"/>
        <w:jc w:val="both"/>
      </w:pPr>
    </w:p>
    <w:p w14:paraId="08C9840F" w14:textId="77777777" w:rsidR="00F7147C" w:rsidRDefault="00F7147C" w:rsidP="00696D68">
      <w:pPr>
        <w:pStyle w:val="Standard"/>
        <w:shd w:val="clear" w:color="auto" w:fill="FFFFFF"/>
        <w:tabs>
          <w:tab w:val="left" w:pos="-195"/>
          <w:tab w:val="left" w:pos="30"/>
        </w:tabs>
        <w:spacing w:line="100" w:lineRule="atLeast"/>
        <w:jc w:val="both"/>
      </w:pPr>
    </w:p>
    <w:p w14:paraId="35DBF78F" w14:textId="77777777" w:rsidR="00F7147C" w:rsidRDefault="00F7147C" w:rsidP="00696D68">
      <w:pPr>
        <w:pStyle w:val="Standard"/>
        <w:shd w:val="clear" w:color="auto" w:fill="FFFFFF"/>
        <w:tabs>
          <w:tab w:val="left" w:pos="-195"/>
          <w:tab w:val="left" w:pos="30"/>
        </w:tabs>
        <w:spacing w:line="100" w:lineRule="atLeast"/>
        <w:jc w:val="both"/>
      </w:pPr>
    </w:p>
    <w:p w14:paraId="52B5070F" w14:textId="77777777" w:rsidR="00F7147C" w:rsidRDefault="00F7147C" w:rsidP="00696D68">
      <w:pPr>
        <w:pStyle w:val="Standard"/>
        <w:shd w:val="clear" w:color="auto" w:fill="FFFFFF"/>
        <w:tabs>
          <w:tab w:val="left" w:pos="-195"/>
          <w:tab w:val="left" w:pos="30"/>
        </w:tabs>
        <w:spacing w:line="100" w:lineRule="atLeast"/>
        <w:jc w:val="both"/>
      </w:pPr>
    </w:p>
    <w:p w14:paraId="05DCA9B0" w14:textId="77777777" w:rsidR="00F7147C" w:rsidRDefault="00F7147C" w:rsidP="00696D68">
      <w:pPr>
        <w:pStyle w:val="Standard"/>
        <w:shd w:val="clear" w:color="auto" w:fill="FFFFFF"/>
        <w:tabs>
          <w:tab w:val="left" w:pos="-195"/>
          <w:tab w:val="left" w:pos="30"/>
        </w:tabs>
        <w:spacing w:line="100" w:lineRule="atLeast"/>
        <w:jc w:val="both"/>
      </w:pPr>
    </w:p>
    <w:p w14:paraId="7D66733D" w14:textId="77777777" w:rsidR="00F7147C" w:rsidRDefault="00F7147C" w:rsidP="00696D68">
      <w:pPr>
        <w:pStyle w:val="Standard"/>
        <w:shd w:val="clear" w:color="auto" w:fill="FFFFFF"/>
        <w:tabs>
          <w:tab w:val="left" w:pos="-195"/>
          <w:tab w:val="left" w:pos="30"/>
        </w:tabs>
        <w:spacing w:line="100" w:lineRule="atLeast"/>
        <w:jc w:val="both"/>
      </w:pPr>
    </w:p>
    <w:p w14:paraId="5E5FF51A" w14:textId="77777777" w:rsidR="00F7147C" w:rsidRDefault="00F7147C" w:rsidP="00696D68">
      <w:pPr>
        <w:pStyle w:val="Standard"/>
        <w:shd w:val="clear" w:color="auto" w:fill="FFFFFF"/>
        <w:tabs>
          <w:tab w:val="left" w:pos="-195"/>
          <w:tab w:val="left" w:pos="30"/>
        </w:tabs>
        <w:spacing w:line="100" w:lineRule="atLeast"/>
        <w:jc w:val="both"/>
      </w:pPr>
    </w:p>
    <w:p w14:paraId="224ACFB9" w14:textId="77777777" w:rsidR="00F7147C" w:rsidRDefault="00F7147C" w:rsidP="00696D68">
      <w:pPr>
        <w:pStyle w:val="Standard"/>
        <w:shd w:val="clear" w:color="auto" w:fill="FFFFFF"/>
        <w:tabs>
          <w:tab w:val="left" w:pos="-195"/>
          <w:tab w:val="left" w:pos="30"/>
        </w:tabs>
        <w:spacing w:line="100" w:lineRule="atLeast"/>
        <w:jc w:val="both"/>
      </w:pPr>
    </w:p>
    <w:p w14:paraId="2B0FA78D" w14:textId="77777777" w:rsidR="00F7147C" w:rsidRDefault="00F7147C" w:rsidP="00696D68">
      <w:pPr>
        <w:pStyle w:val="Standard"/>
        <w:shd w:val="clear" w:color="auto" w:fill="FFFFFF"/>
        <w:tabs>
          <w:tab w:val="left" w:pos="-195"/>
          <w:tab w:val="left" w:pos="30"/>
        </w:tabs>
        <w:spacing w:line="100" w:lineRule="atLeast"/>
        <w:jc w:val="both"/>
      </w:pPr>
    </w:p>
    <w:p w14:paraId="129BA0AC" w14:textId="77777777" w:rsidR="00F7147C" w:rsidRDefault="00F7147C" w:rsidP="00696D68">
      <w:pPr>
        <w:pStyle w:val="Standard"/>
        <w:shd w:val="clear" w:color="auto" w:fill="FFFFFF"/>
        <w:tabs>
          <w:tab w:val="left" w:pos="-195"/>
          <w:tab w:val="left" w:pos="30"/>
        </w:tabs>
        <w:spacing w:line="100" w:lineRule="atLeast"/>
        <w:jc w:val="both"/>
      </w:pPr>
    </w:p>
    <w:p w14:paraId="776F8ECB" w14:textId="77777777" w:rsidR="00F7147C" w:rsidRDefault="00F7147C" w:rsidP="00696D68">
      <w:pPr>
        <w:pStyle w:val="Standard"/>
        <w:shd w:val="clear" w:color="auto" w:fill="FFFFFF"/>
        <w:tabs>
          <w:tab w:val="left" w:pos="-195"/>
          <w:tab w:val="left" w:pos="30"/>
        </w:tabs>
        <w:spacing w:line="100" w:lineRule="atLeast"/>
        <w:jc w:val="both"/>
      </w:pPr>
    </w:p>
    <w:p w14:paraId="0DC5F750" w14:textId="77777777" w:rsidR="00F7147C" w:rsidRDefault="00F7147C" w:rsidP="00696D68">
      <w:pPr>
        <w:pStyle w:val="Standard"/>
        <w:shd w:val="clear" w:color="auto" w:fill="FFFFFF"/>
        <w:tabs>
          <w:tab w:val="left" w:pos="-195"/>
          <w:tab w:val="left" w:pos="30"/>
        </w:tabs>
        <w:spacing w:line="100" w:lineRule="atLeast"/>
        <w:jc w:val="both"/>
      </w:pPr>
    </w:p>
    <w:p w14:paraId="7EAD6B63" w14:textId="77777777" w:rsidR="00F7147C" w:rsidRDefault="00F7147C" w:rsidP="00696D68">
      <w:pPr>
        <w:pStyle w:val="Standard"/>
        <w:shd w:val="clear" w:color="auto" w:fill="FFFFFF"/>
        <w:tabs>
          <w:tab w:val="left" w:pos="-195"/>
          <w:tab w:val="left" w:pos="30"/>
        </w:tabs>
        <w:spacing w:line="100" w:lineRule="atLeast"/>
        <w:jc w:val="both"/>
      </w:pPr>
    </w:p>
    <w:p w14:paraId="5DFD9F10" w14:textId="77777777" w:rsidR="00F7147C" w:rsidRDefault="00F7147C" w:rsidP="00696D68">
      <w:pPr>
        <w:pStyle w:val="Standard"/>
        <w:shd w:val="clear" w:color="auto" w:fill="FFFFFF"/>
        <w:tabs>
          <w:tab w:val="left" w:pos="-195"/>
          <w:tab w:val="left" w:pos="30"/>
        </w:tabs>
        <w:spacing w:line="100" w:lineRule="atLeast"/>
        <w:jc w:val="both"/>
      </w:pPr>
    </w:p>
    <w:p w14:paraId="65CC0A71" w14:textId="77777777" w:rsidR="00F7147C" w:rsidRDefault="00F7147C" w:rsidP="00696D68">
      <w:pPr>
        <w:pStyle w:val="Standard"/>
        <w:shd w:val="clear" w:color="auto" w:fill="FFFFFF"/>
        <w:tabs>
          <w:tab w:val="left" w:pos="-195"/>
          <w:tab w:val="left" w:pos="30"/>
        </w:tabs>
        <w:spacing w:line="100" w:lineRule="atLeast"/>
        <w:jc w:val="both"/>
      </w:pPr>
    </w:p>
    <w:p w14:paraId="5FB984E3" w14:textId="77777777" w:rsidR="00F7147C" w:rsidRDefault="00F7147C" w:rsidP="00696D68">
      <w:pPr>
        <w:pStyle w:val="Standard"/>
        <w:shd w:val="clear" w:color="auto" w:fill="FFFFFF"/>
        <w:tabs>
          <w:tab w:val="left" w:pos="-195"/>
          <w:tab w:val="left" w:pos="30"/>
        </w:tabs>
        <w:spacing w:line="100" w:lineRule="atLeast"/>
        <w:jc w:val="both"/>
      </w:pPr>
    </w:p>
    <w:p w14:paraId="6B2BF19F" w14:textId="77777777" w:rsidR="00F7147C" w:rsidRDefault="00F7147C" w:rsidP="00696D68">
      <w:pPr>
        <w:pStyle w:val="Standard"/>
        <w:shd w:val="clear" w:color="auto" w:fill="FFFFFF"/>
        <w:tabs>
          <w:tab w:val="left" w:pos="-195"/>
          <w:tab w:val="left" w:pos="30"/>
        </w:tabs>
        <w:spacing w:line="100" w:lineRule="atLeast"/>
        <w:jc w:val="both"/>
      </w:pPr>
    </w:p>
    <w:p w14:paraId="0FE155F4" w14:textId="77777777" w:rsidR="00F7147C" w:rsidRDefault="00F7147C" w:rsidP="00696D68">
      <w:pPr>
        <w:pStyle w:val="Standard"/>
        <w:shd w:val="clear" w:color="auto" w:fill="FFFFFF"/>
        <w:tabs>
          <w:tab w:val="left" w:pos="-195"/>
          <w:tab w:val="left" w:pos="30"/>
        </w:tabs>
        <w:spacing w:line="100" w:lineRule="atLeast"/>
        <w:jc w:val="both"/>
      </w:pPr>
    </w:p>
    <w:p w14:paraId="52AB286A" w14:textId="77777777" w:rsidR="00F7147C" w:rsidRDefault="00F7147C" w:rsidP="00696D68">
      <w:pPr>
        <w:pStyle w:val="Standard"/>
        <w:shd w:val="clear" w:color="auto" w:fill="FFFFFF"/>
        <w:tabs>
          <w:tab w:val="left" w:pos="-195"/>
          <w:tab w:val="left" w:pos="30"/>
        </w:tabs>
        <w:spacing w:line="100" w:lineRule="atLeast"/>
        <w:jc w:val="both"/>
      </w:pPr>
    </w:p>
    <w:p w14:paraId="0B3A3BE2" w14:textId="77777777" w:rsidR="00F7147C" w:rsidRDefault="00F7147C" w:rsidP="00696D68">
      <w:pPr>
        <w:pStyle w:val="Standard"/>
        <w:shd w:val="clear" w:color="auto" w:fill="FFFFFF"/>
        <w:tabs>
          <w:tab w:val="left" w:pos="-195"/>
          <w:tab w:val="left" w:pos="30"/>
        </w:tabs>
        <w:spacing w:line="100" w:lineRule="atLeast"/>
        <w:jc w:val="both"/>
      </w:pPr>
    </w:p>
    <w:p w14:paraId="54180A9E" w14:textId="77777777" w:rsidR="00F7147C" w:rsidRDefault="00F7147C" w:rsidP="00696D68">
      <w:pPr>
        <w:pStyle w:val="Standard"/>
        <w:shd w:val="clear" w:color="auto" w:fill="FFFFFF"/>
        <w:tabs>
          <w:tab w:val="left" w:pos="-195"/>
          <w:tab w:val="left" w:pos="30"/>
        </w:tabs>
        <w:spacing w:line="100" w:lineRule="atLeast"/>
        <w:jc w:val="both"/>
      </w:pPr>
    </w:p>
    <w:p w14:paraId="395C2E1C" w14:textId="77777777" w:rsidR="00F7147C" w:rsidRDefault="00F7147C" w:rsidP="00696D68">
      <w:pPr>
        <w:pStyle w:val="Standard"/>
        <w:shd w:val="clear" w:color="auto" w:fill="FFFFFF"/>
        <w:tabs>
          <w:tab w:val="left" w:pos="-195"/>
          <w:tab w:val="left" w:pos="30"/>
        </w:tabs>
        <w:spacing w:line="100" w:lineRule="atLeast"/>
        <w:jc w:val="both"/>
      </w:pPr>
    </w:p>
    <w:p w14:paraId="2061B26E" w14:textId="77777777" w:rsidR="00F7147C" w:rsidRDefault="00F7147C" w:rsidP="00696D68">
      <w:pPr>
        <w:pStyle w:val="Standard"/>
        <w:shd w:val="clear" w:color="auto" w:fill="FFFFFF"/>
        <w:tabs>
          <w:tab w:val="left" w:pos="-195"/>
          <w:tab w:val="left" w:pos="30"/>
        </w:tabs>
        <w:spacing w:line="100" w:lineRule="atLeast"/>
        <w:jc w:val="both"/>
      </w:pPr>
    </w:p>
    <w:p w14:paraId="5F06D9A9" w14:textId="77777777" w:rsidR="00F7147C" w:rsidRDefault="00F7147C" w:rsidP="00696D68">
      <w:pPr>
        <w:pStyle w:val="Standard"/>
        <w:shd w:val="clear" w:color="auto" w:fill="FFFFFF"/>
        <w:tabs>
          <w:tab w:val="left" w:pos="-195"/>
          <w:tab w:val="left" w:pos="30"/>
        </w:tabs>
        <w:spacing w:line="100" w:lineRule="atLeast"/>
        <w:jc w:val="both"/>
      </w:pPr>
    </w:p>
    <w:p w14:paraId="24D90EF9" w14:textId="77777777" w:rsidR="00F7147C" w:rsidRDefault="00F7147C" w:rsidP="00696D68">
      <w:pPr>
        <w:pStyle w:val="Standard"/>
        <w:shd w:val="clear" w:color="auto" w:fill="FFFFFF"/>
        <w:tabs>
          <w:tab w:val="left" w:pos="-195"/>
          <w:tab w:val="left" w:pos="30"/>
        </w:tabs>
        <w:spacing w:line="100" w:lineRule="atLeast"/>
        <w:jc w:val="both"/>
      </w:pPr>
    </w:p>
    <w:p w14:paraId="3620337C" w14:textId="77777777" w:rsidR="00F7147C" w:rsidRDefault="00F7147C" w:rsidP="00696D68">
      <w:pPr>
        <w:pStyle w:val="Standard"/>
        <w:shd w:val="clear" w:color="auto" w:fill="FFFFFF"/>
        <w:tabs>
          <w:tab w:val="left" w:pos="-195"/>
          <w:tab w:val="left" w:pos="30"/>
        </w:tabs>
        <w:spacing w:line="100" w:lineRule="atLeast"/>
        <w:jc w:val="both"/>
      </w:pPr>
    </w:p>
    <w:p w14:paraId="0C63EB66" w14:textId="77777777" w:rsidR="00F7147C" w:rsidRDefault="00F7147C" w:rsidP="00696D68">
      <w:pPr>
        <w:pStyle w:val="Standard"/>
        <w:shd w:val="clear" w:color="auto" w:fill="FFFFFF"/>
        <w:tabs>
          <w:tab w:val="left" w:pos="-195"/>
          <w:tab w:val="left" w:pos="30"/>
        </w:tabs>
        <w:spacing w:line="100" w:lineRule="atLeast"/>
        <w:jc w:val="both"/>
      </w:pPr>
    </w:p>
    <w:p w14:paraId="704A693D" w14:textId="77777777" w:rsidR="00F7147C" w:rsidRDefault="00F7147C" w:rsidP="00696D68">
      <w:pPr>
        <w:pStyle w:val="Standard"/>
        <w:shd w:val="clear" w:color="auto" w:fill="FFFFFF"/>
        <w:tabs>
          <w:tab w:val="left" w:pos="-195"/>
          <w:tab w:val="left" w:pos="30"/>
        </w:tabs>
        <w:spacing w:line="100" w:lineRule="atLeast"/>
        <w:jc w:val="both"/>
      </w:pPr>
    </w:p>
    <w:p w14:paraId="71B44A69" w14:textId="77777777" w:rsidR="00F7147C" w:rsidRDefault="00F7147C" w:rsidP="00696D68">
      <w:pPr>
        <w:pStyle w:val="Standard"/>
        <w:shd w:val="clear" w:color="auto" w:fill="FFFFFF"/>
        <w:tabs>
          <w:tab w:val="left" w:pos="-195"/>
          <w:tab w:val="left" w:pos="30"/>
        </w:tabs>
        <w:spacing w:line="100" w:lineRule="atLeast"/>
        <w:jc w:val="both"/>
      </w:pPr>
    </w:p>
    <w:p w14:paraId="2C9784B9" w14:textId="77777777" w:rsidR="00F7147C" w:rsidRDefault="00F7147C" w:rsidP="00F7147C">
      <w:pPr>
        <w:pStyle w:val="Standard"/>
        <w:shd w:val="clear" w:color="auto" w:fill="FFFFFF"/>
        <w:tabs>
          <w:tab w:val="left" w:pos="-195"/>
          <w:tab w:val="left" w:pos="30"/>
        </w:tabs>
        <w:spacing w:line="100" w:lineRule="atLeast"/>
        <w:jc w:val="right"/>
      </w:pPr>
    </w:p>
    <w:p w14:paraId="4BCB7A4F" w14:textId="77777777" w:rsidR="00F7147C" w:rsidRDefault="00F7147C" w:rsidP="00F7147C">
      <w:pPr>
        <w:pStyle w:val="Standard"/>
        <w:shd w:val="clear" w:color="auto" w:fill="FFFFFF"/>
        <w:tabs>
          <w:tab w:val="left" w:pos="-195"/>
          <w:tab w:val="left" w:pos="30"/>
        </w:tabs>
        <w:spacing w:line="100" w:lineRule="atLeast"/>
        <w:jc w:val="right"/>
      </w:pPr>
    </w:p>
    <w:p w14:paraId="581FFF04" w14:textId="77777777" w:rsidR="00F7147C" w:rsidRDefault="00F7147C" w:rsidP="00F7147C">
      <w:pPr>
        <w:pStyle w:val="Standard"/>
        <w:shd w:val="clear" w:color="auto" w:fill="FFFFFF"/>
        <w:tabs>
          <w:tab w:val="left" w:pos="-195"/>
          <w:tab w:val="left" w:pos="30"/>
        </w:tabs>
        <w:spacing w:line="100" w:lineRule="atLeast"/>
        <w:jc w:val="right"/>
      </w:pPr>
    </w:p>
    <w:p w14:paraId="5E871FE2" w14:textId="77777777" w:rsidR="00FC3ABE" w:rsidRDefault="00F7147C" w:rsidP="00F7147C">
      <w:pPr>
        <w:pStyle w:val="Standard"/>
        <w:shd w:val="clear" w:color="auto" w:fill="FFFFFF"/>
        <w:tabs>
          <w:tab w:val="left" w:pos="-195"/>
          <w:tab w:val="left" w:pos="30"/>
        </w:tabs>
        <w:spacing w:line="100" w:lineRule="atLeast"/>
        <w:jc w:val="right"/>
      </w:pPr>
      <w:r>
        <w:t>67</w:t>
      </w:r>
    </w:p>
    <w:p w14:paraId="00DEFC5E" w14:textId="77777777" w:rsidR="00050920" w:rsidRDefault="00050920"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2FA61D62" wp14:editId="12C21032">
            <wp:extent cx="5612130" cy="7262495"/>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stado de Resultados dic 2017 - 2018_00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05845EC5" w14:textId="77777777" w:rsidR="00050920" w:rsidRDefault="00F7147C" w:rsidP="00F7147C">
      <w:pPr>
        <w:pStyle w:val="Standard"/>
        <w:shd w:val="clear" w:color="auto" w:fill="FFFFFF"/>
        <w:tabs>
          <w:tab w:val="left" w:pos="-195"/>
          <w:tab w:val="left" w:pos="30"/>
        </w:tabs>
        <w:spacing w:line="100" w:lineRule="atLeast"/>
        <w:jc w:val="right"/>
      </w:pPr>
      <w:r>
        <w:t>68</w:t>
      </w:r>
    </w:p>
    <w:p w14:paraId="42345D05" w14:textId="77777777" w:rsidR="00050920" w:rsidRDefault="00050920"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39F40E9A" wp14:editId="62E10BE0">
            <wp:extent cx="5612130" cy="7262495"/>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stado de Resultados dic 2017 - 2018_00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6DE169A7" w14:textId="77777777" w:rsidR="00050920" w:rsidRDefault="00050920" w:rsidP="00696D68">
      <w:pPr>
        <w:pStyle w:val="Standard"/>
        <w:shd w:val="clear" w:color="auto" w:fill="FFFFFF"/>
        <w:tabs>
          <w:tab w:val="left" w:pos="-195"/>
          <w:tab w:val="left" w:pos="30"/>
        </w:tabs>
        <w:spacing w:line="100" w:lineRule="atLeast"/>
        <w:jc w:val="both"/>
      </w:pPr>
    </w:p>
    <w:p w14:paraId="7B9F2EA4" w14:textId="77777777" w:rsidR="00050920" w:rsidRDefault="00F7147C" w:rsidP="00F7147C">
      <w:pPr>
        <w:pStyle w:val="Standard"/>
        <w:shd w:val="clear" w:color="auto" w:fill="FFFFFF"/>
        <w:tabs>
          <w:tab w:val="left" w:pos="-195"/>
          <w:tab w:val="left" w:pos="30"/>
        </w:tabs>
        <w:spacing w:line="100" w:lineRule="atLeast"/>
        <w:jc w:val="right"/>
      </w:pPr>
      <w:r>
        <w:t>69</w:t>
      </w:r>
    </w:p>
    <w:p w14:paraId="24CD36E7" w14:textId="77777777" w:rsidR="00F7147C" w:rsidRDefault="00F7147C" w:rsidP="00F7147C">
      <w:pPr>
        <w:pStyle w:val="Standard"/>
        <w:shd w:val="clear" w:color="auto" w:fill="FFFFFF"/>
        <w:tabs>
          <w:tab w:val="left" w:pos="-195"/>
          <w:tab w:val="left" w:pos="30"/>
        </w:tabs>
        <w:spacing w:line="100" w:lineRule="atLeast"/>
        <w:jc w:val="right"/>
      </w:pPr>
    </w:p>
    <w:p w14:paraId="6FBFEFFE" w14:textId="77777777" w:rsidR="00050920" w:rsidRDefault="00050920" w:rsidP="00F7147C">
      <w:pPr>
        <w:pStyle w:val="Standard"/>
        <w:shd w:val="clear" w:color="auto" w:fill="FFFFFF"/>
        <w:tabs>
          <w:tab w:val="left" w:pos="-195"/>
          <w:tab w:val="left" w:pos="30"/>
        </w:tabs>
        <w:spacing w:line="100" w:lineRule="atLeast"/>
        <w:jc w:val="right"/>
      </w:pPr>
      <w:r>
        <w:rPr>
          <w:noProof/>
          <w:lang w:val="es-CR" w:eastAsia="es-CR"/>
        </w:rPr>
        <w:drawing>
          <wp:anchor distT="0" distB="0" distL="114300" distR="114300" simplePos="0" relativeHeight="251866112" behindDoc="0" locked="0" layoutInCell="1" allowOverlap="1" wp14:anchorId="6E9179B9" wp14:editId="5DF796E1">
            <wp:simplePos x="0" y="0"/>
            <wp:positionH relativeFrom="column">
              <wp:posOffset>1905</wp:posOffset>
            </wp:positionH>
            <wp:positionV relativeFrom="paragraph">
              <wp:posOffset>0</wp:posOffset>
            </wp:positionV>
            <wp:extent cx="5612130" cy="7262495"/>
            <wp:effectExtent l="0" t="0" r="762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stado de Resultados dic 2017 - 2018_009.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anchor>
        </w:drawing>
      </w:r>
      <w:r w:rsidR="00F7147C">
        <w:t>70</w:t>
      </w:r>
    </w:p>
    <w:p w14:paraId="3166C654" w14:textId="77777777" w:rsidR="00050920" w:rsidRDefault="00050920"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7E642C7F" wp14:editId="640C0084">
            <wp:extent cx="5612130" cy="7262495"/>
            <wp:effectExtent l="0" t="0" r="762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stado de Resultados dic 2017 - 2018_01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4ED36373" w14:textId="77777777" w:rsidR="00FC3ABE" w:rsidRDefault="00F7147C" w:rsidP="00F7147C">
      <w:pPr>
        <w:pStyle w:val="Standard"/>
        <w:shd w:val="clear" w:color="auto" w:fill="FFFFFF"/>
        <w:tabs>
          <w:tab w:val="left" w:pos="-195"/>
          <w:tab w:val="left" w:pos="30"/>
        </w:tabs>
        <w:spacing w:line="100" w:lineRule="atLeast"/>
        <w:jc w:val="right"/>
      </w:pPr>
      <w:r>
        <w:t>71</w:t>
      </w:r>
    </w:p>
    <w:p w14:paraId="1E9B11F0" w14:textId="77777777" w:rsidR="00050920" w:rsidRDefault="005F6333"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3B7CB5E0" wp14:editId="3A5A17C2">
            <wp:extent cx="5612130" cy="7262495"/>
            <wp:effectExtent l="0" t="0" r="762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Estado Situacion Financiera diciembre 2017-2018_00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3E0BF1E3" w14:textId="77777777" w:rsidR="00050920" w:rsidRDefault="00F7147C" w:rsidP="00F7147C">
      <w:pPr>
        <w:pStyle w:val="Standard"/>
        <w:shd w:val="clear" w:color="auto" w:fill="FFFFFF"/>
        <w:tabs>
          <w:tab w:val="left" w:pos="-195"/>
          <w:tab w:val="left" w:pos="30"/>
        </w:tabs>
        <w:spacing w:line="100" w:lineRule="atLeast"/>
        <w:jc w:val="right"/>
      </w:pPr>
      <w:r>
        <w:t>72</w:t>
      </w:r>
    </w:p>
    <w:p w14:paraId="6B4B792A" w14:textId="77777777" w:rsidR="005F6333" w:rsidRDefault="002905C2"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2D4E4EF6" wp14:editId="3037F2E8">
            <wp:extent cx="5612130" cy="7262495"/>
            <wp:effectExtent l="0" t="0" r="762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Estado Situacion Financiera diciembre 2017-2018_00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49742915" w14:textId="77777777" w:rsidR="00050920" w:rsidRDefault="00F7147C" w:rsidP="00F7147C">
      <w:pPr>
        <w:pStyle w:val="Standard"/>
        <w:shd w:val="clear" w:color="auto" w:fill="FFFFFF"/>
        <w:tabs>
          <w:tab w:val="left" w:pos="-195"/>
          <w:tab w:val="left" w:pos="30"/>
        </w:tabs>
        <w:spacing w:line="100" w:lineRule="atLeast"/>
        <w:jc w:val="right"/>
      </w:pPr>
      <w:r>
        <w:t>73</w:t>
      </w:r>
    </w:p>
    <w:p w14:paraId="0858E8F8" w14:textId="77777777" w:rsidR="00050920" w:rsidRDefault="00A648C2"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6D6E8951" wp14:editId="4496DCDD">
            <wp:extent cx="5612130" cy="7262495"/>
            <wp:effectExtent l="0" t="0" r="762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Estado Situacion Financiera diciembre 2017-2018_00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55EE1981" w14:textId="77777777" w:rsidR="00050920" w:rsidRDefault="00F7147C" w:rsidP="00F7147C">
      <w:pPr>
        <w:pStyle w:val="Standard"/>
        <w:shd w:val="clear" w:color="auto" w:fill="FFFFFF"/>
        <w:tabs>
          <w:tab w:val="left" w:pos="-195"/>
          <w:tab w:val="left" w:pos="30"/>
        </w:tabs>
        <w:spacing w:line="100" w:lineRule="atLeast"/>
        <w:jc w:val="right"/>
      </w:pPr>
      <w:r>
        <w:t>74</w:t>
      </w:r>
    </w:p>
    <w:p w14:paraId="2A555889" w14:textId="77777777" w:rsidR="00050920" w:rsidRDefault="00A648C2"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6AA3EE9D" wp14:editId="2E05DF31">
            <wp:extent cx="5612130" cy="7262495"/>
            <wp:effectExtent l="0" t="0" r="762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Estado Situacion Financiera diciembre 2017-2018_00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27323E1D" w14:textId="77777777" w:rsidR="00050920" w:rsidRDefault="00F7147C" w:rsidP="00F7147C">
      <w:pPr>
        <w:pStyle w:val="Standard"/>
        <w:shd w:val="clear" w:color="auto" w:fill="FFFFFF"/>
        <w:tabs>
          <w:tab w:val="left" w:pos="-195"/>
          <w:tab w:val="left" w:pos="30"/>
        </w:tabs>
        <w:spacing w:line="100" w:lineRule="atLeast"/>
        <w:jc w:val="right"/>
      </w:pPr>
      <w:r>
        <w:t>75</w:t>
      </w:r>
    </w:p>
    <w:p w14:paraId="4D8596CE" w14:textId="77777777" w:rsidR="00050920" w:rsidRDefault="00A648C2"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325032B1" wp14:editId="49B58C9D">
            <wp:extent cx="5612130" cy="7262495"/>
            <wp:effectExtent l="0" t="0" r="762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Estado Situacion Financiera diciembre 2017-2018_00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18F7467D" w14:textId="77777777" w:rsidR="00050920" w:rsidRDefault="00F7147C" w:rsidP="00F7147C">
      <w:pPr>
        <w:pStyle w:val="Standard"/>
        <w:shd w:val="clear" w:color="auto" w:fill="FFFFFF"/>
        <w:tabs>
          <w:tab w:val="left" w:pos="-195"/>
          <w:tab w:val="left" w:pos="30"/>
        </w:tabs>
        <w:spacing w:line="100" w:lineRule="atLeast"/>
        <w:jc w:val="right"/>
      </w:pPr>
      <w:r>
        <w:t>76</w:t>
      </w:r>
    </w:p>
    <w:p w14:paraId="6157E13B" w14:textId="77777777" w:rsidR="00050920" w:rsidRDefault="00A648C2"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54E0347B" wp14:editId="384A3D88">
            <wp:extent cx="5612130" cy="7262495"/>
            <wp:effectExtent l="0" t="0" r="762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stado Situacion Financiera diciembre 2017-2018_00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03687AA4" w14:textId="77777777" w:rsidR="00050920" w:rsidRDefault="00F7147C" w:rsidP="00F7147C">
      <w:pPr>
        <w:pStyle w:val="Standard"/>
        <w:shd w:val="clear" w:color="auto" w:fill="FFFFFF"/>
        <w:tabs>
          <w:tab w:val="left" w:pos="-195"/>
          <w:tab w:val="left" w:pos="30"/>
        </w:tabs>
        <w:spacing w:line="100" w:lineRule="atLeast"/>
        <w:jc w:val="right"/>
      </w:pPr>
      <w:r>
        <w:t>77</w:t>
      </w:r>
    </w:p>
    <w:p w14:paraId="5A358FC3" w14:textId="77777777" w:rsidR="00050920" w:rsidRDefault="00A648C2"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132764FF" wp14:editId="695A5543">
            <wp:extent cx="5612130" cy="7262495"/>
            <wp:effectExtent l="0" t="0" r="762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Estado Situacion Financiera diciembre 2017-2018_00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53D90FCB" w14:textId="77777777" w:rsidR="00050920" w:rsidRDefault="00F7147C" w:rsidP="00F7147C">
      <w:pPr>
        <w:pStyle w:val="Standard"/>
        <w:shd w:val="clear" w:color="auto" w:fill="FFFFFF"/>
        <w:tabs>
          <w:tab w:val="left" w:pos="-195"/>
          <w:tab w:val="left" w:pos="30"/>
        </w:tabs>
        <w:spacing w:line="100" w:lineRule="atLeast"/>
        <w:jc w:val="right"/>
      </w:pPr>
      <w:r>
        <w:t>78</w:t>
      </w:r>
    </w:p>
    <w:p w14:paraId="493FC46C" w14:textId="77777777" w:rsidR="00050920" w:rsidRDefault="00A648C2"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4985E83F" wp14:editId="312B8ADC">
            <wp:extent cx="5612130" cy="7262495"/>
            <wp:effectExtent l="0" t="0" r="762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Estado Situacion Financiera diciembre 2017-2018_00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2E5F4FBB" w14:textId="77777777" w:rsidR="00050920" w:rsidRDefault="00F7147C" w:rsidP="00F7147C">
      <w:pPr>
        <w:pStyle w:val="Standard"/>
        <w:shd w:val="clear" w:color="auto" w:fill="FFFFFF"/>
        <w:tabs>
          <w:tab w:val="left" w:pos="-195"/>
          <w:tab w:val="left" w:pos="30"/>
        </w:tabs>
        <w:spacing w:line="100" w:lineRule="atLeast"/>
        <w:jc w:val="right"/>
      </w:pPr>
      <w:r>
        <w:t>79</w:t>
      </w:r>
    </w:p>
    <w:p w14:paraId="19829360" w14:textId="77777777" w:rsidR="00AF3D71" w:rsidRDefault="00AF3D71"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6E7AE8D2" wp14:editId="7C42A464">
            <wp:extent cx="5612130" cy="7262495"/>
            <wp:effectExtent l="0" t="0" r="762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Estado Situacion Financiera diciembre 2017-2018_00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415C8691" w14:textId="77777777" w:rsidR="00050920" w:rsidRDefault="00F7147C" w:rsidP="00F7147C">
      <w:pPr>
        <w:pStyle w:val="Standard"/>
        <w:shd w:val="clear" w:color="auto" w:fill="FFFFFF"/>
        <w:tabs>
          <w:tab w:val="left" w:pos="-195"/>
          <w:tab w:val="left" w:pos="30"/>
        </w:tabs>
        <w:spacing w:line="100" w:lineRule="atLeast"/>
        <w:jc w:val="right"/>
      </w:pPr>
      <w:r>
        <w:t>80</w:t>
      </w:r>
    </w:p>
    <w:p w14:paraId="15A34777" w14:textId="77777777" w:rsidR="00050920" w:rsidRDefault="00AF3D71"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23A983F2" wp14:editId="393798E1">
            <wp:extent cx="5855970" cy="726249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Estado Situacion Financiera diciembre 2017-2018_01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55970" cy="7262495"/>
                    </a:xfrm>
                    <a:prstGeom prst="rect">
                      <a:avLst/>
                    </a:prstGeom>
                  </pic:spPr>
                </pic:pic>
              </a:graphicData>
            </a:graphic>
          </wp:inline>
        </w:drawing>
      </w:r>
    </w:p>
    <w:p w14:paraId="33F94B17" w14:textId="77777777" w:rsidR="00050920" w:rsidRDefault="00F7147C" w:rsidP="00F7147C">
      <w:pPr>
        <w:pStyle w:val="Standard"/>
        <w:shd w:val="clear" w:color="auto" w:fill="FFFFFF"/>
        <w:tabs>
          <w:tab w:val="left" w:pos="-195"/>
          <w:tab w:val="left" w:pos="30"/>
        </w:tabs>
        <w:spacing w:line="100" w:lineRule="atLeast"/>
        <w:jc w:val="right"/>
      </w:pPr>
      <w:r>
        <w:t>81</w:t>
      </w:r>
    </w:p>
    <w:p w14:paraId="7DC2874B" w14:textId="77777777" w:rsidR="00050920" w:rsidRDefault="00AF3D71"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24F0D1E5" wp14:editId="45B11615">
            <wp:extent cx="5612130" cy="7262495"/>
            <wp:effectExtent l="0" t="0" r="762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Estado Situacion Financiera diciembre 2017-2018_01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2ACD5590" w14:textId="77777777" w:rsidR="00050920" w:rsidRDefault="00F7147C" w:rsidP="00F7147C">
      <w:pPr>
        <w:pStyle w:val="Standard"/>
        <w:shd w:val="clear" w:color="auto" w:fill="FFFFFF"/>
        <w:tabs>
          <w:tab w:val="left" w:pos="-195"/>
          <w:tab w:val="left" w:pos="30"/>
        </w:tabs>
        <w:spacing w:line="100" w:lineRule="atLeast"/>
        <w:jc w:val="right"/>
      </w:pPr>
      <w:r>
        <w:t>82</w:t>
      </w:r>
    </w:p>
    <w:p w14:paraId="22583EF8" w14:textId="77777777" w:rsidR="00050920" w:rsidRDefault="00AF3D71"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35A8FFF1" wp14:editId="2F6F9200">
            <wp:extent cx="5612130" cy="7262495"/>
            <wp:effectExtent l="0" t="0" r="762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Estado Situacion Financiera diciembre 2017-2018_01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2E7478C7" w14:textId="77777777" w:rsidR="00050920" w:rsidRDefault="00F7147C" w:rsidP="00F7147C">
      <w:pPr>
        <w:pStyle w:val="Standard"/>
        <w:shd w:val="clear" w:color="auto" w:fill="FFFFFF"/>
        <w:tabs>
          <w:tab w:val="left" w:pos="-195"/>
          <w:tab w:val="left" w:pos="30"/>
        </w:tabs>
        <w:spacing w:line="100" w:lineRule="atLeast"/>
        <w:jc w:val="right"/>
      </w:pPr>
      <w:r>
        <w:t>83</w:t>
      </w:r>
    </w:p>
    <w:p w14:paraId="454A251D" w14:textId="77777777" w:rsidR="00050920" w:rsidRDefault="00AF3D71" w:rsidP="00696D68">
      <w:pPr>
        <w:pStyle w:val="Standard"/>
        <w:shd w:val="clear" w:color="auto" w:fill="FFFFFF"/>
        <w:tabs>
          <w:tab w:val="left" w:pos="-195"/>
          <w:tab w:val="left" w:pos="30"/>
        </w:tabs>
        <w:spacing w:line="100" w:lineRule="atLeast"/>
        <w:jc w:val="both"/>
      </w:pPr>
      <w:r>
        <w:rPr>
          <w:noProof/>
          <w:lang w:val="es-CR" w:eastAsia="es-CR"/>
        </w:rPr>
        <w:lastRenderedPageBreak/>
        <w:drawing>
          <wp:inline distT="0" distB="0" distL="0" distR="0" wp14:anchorId="6640CE7C" wp14:editId="5F3E45A2">
            <wp:extent cx="5612130" cy="7262495"/>
            <wp:effectExtent l="0" t="0" r="762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stado Situacion Financiera diciembre 2017-2018_01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487E9390" w14:textId="77777777" w:rsidR="00050920" w:rsidRPr="002E4E09" w:rsidRDefault="00F7147C" w:rsidP="00F7147C">
      <w:pPr>
        <w:pStyle w:val="Standard"/>
        <w:shd w:val="clear" w:color="auto" w:fill="FFFFFF"/>
        <w:tabs>
          <w:tab w:val="left" w:pos="-195"/>
          <w:tab w:val="left" w:pos="30"/>
        </w:tabs>
        <w:spacing w:line="100" w:lineRule="atLeast"/>
        <w:jc w:val="right"/>
      </w:pPr>
      <w:r>
        <w:t>84</w:t>
      </w:r>
    </w:p>
    <w:sectPr w:rsidR="00050920" w:rsidRPr="002E4E09" w:rsidSect="001F3F23">
      <w:headerReference w:type="default" r:id="rId86"/>
      <w:footerReference w:type="default" r:id="rId87"/>
      <w:footnotePr>
        <w:numRestart w:val="eachPage"/>
      </w:footnotePr>
      <w:endnotePr>
        <w:numFmt w:val="decimal"/>
      </w:endnotePr>
      <w:pgSz w:w="12240" w:h="15840"/>
      <w:pgMar w:top="1701" w:right="1701" w:bottom="1701" w:left="1701"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3191FB" w14:textId="77777777" w:rsidR="0078609F" w:rsidRDefault="0078609F" w:rsidP="00D215AE">
      <w:pPr>
        <w:spacing w:before="0" w:after="0" w:line="240" w:lineRule="auto"/>
      </w:pPr>
      <w:r>
        <w:separator/>
      </w:r>
    </w:p>
  </w:endnote>
  <w:endnote w:type="continuationSeparator" w:id="0">
    <w:p w14:paraId="14761761" w14:textId="77777777" w:rsidR="0078609F" w:rsidRDefault="0078609F" w:rsidP="00D215A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OpenSymbol">
    <w:panose1 w:val="05010000000000000000"/>
    <w:charset w:val="00"/>
    <w:family w:val="auto"/>
    <w:pitch w:val="variable"/>
    <w:sig w:usb0="800000AF" w:usb1="1001ECEA" w:usb2="00000000" w:usb3="00000000" w:csb0="00000001" w:csb1="00000000"/>
  </w:font>
  <w:font w:name="StarSymbol">
    <w:altName w:val="Arial Unicode MS"/>
    <w:charset w:val="02"/>
    <w:family w:val="auto"/>
    <w:pitch w:val="default"/>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OpenSymbol, 'Arial Unicode MS'">
    <w:charset w:val="00"/>
    <w:family w:val="auto"/>
    <w:pitch w:val="variable"/>
  </w:font>
  <w:font w:name="Andale Sans UI">
    <w:altName w:val="Arial Unicode MS"/>
    <w:charset w:val="00"/>
    <w:family w:val="swiss"/>
    <w:pitch w:val="variable"/>
  </w:font>
  <w:font w:name="OpenSymbol,">
    <w:panose1 w:val="00000000000000000000"/>
    <w:charset w:val="00"/>
    <w:family w:val="roman"/>
    <w:notTrueType/>
    <w:pitch w:val="default"/>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 w:name="Microsoft YaHei">
    <w:panose1 w:val="020B0503020204020204"/>
    <w:charset w:val="86"/>
    <w:family w:val="swiss"/>
    <w:pitch w:val="variable"/>
    <w:sig w:usb0="A0000287" w:usb1="28CF3C52"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mSun, 宋体">
    <w:charset w:val="00"/>
    <w:family w:val="auto"/>
    <w:pitch w:val="variable"/>
  </w:font>
  <w:font w:name="Times New (W1)">
    <w:altName w:val="Times New Roman"/>
    <w:charset w:val="00"/>
    <w:family w:val="roman"/>
    <w:pitch w:val="default"/>
  </w:font>
  <w:font w:name="Thorndale">
    <w:altName w:val="Times New Roman"/>
    <w:charset w:val="00"/>
    <w:family w:val="roman"/>
    <w:pitch w:val="variable"/>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MT">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B0AD2" w14:textId="77777777" w:rsidR="009150DC" w:rsidRDefault="009150DC" w:rsidP="009150DC">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B1115A" w14:textId="77777777" w:rsidR="0078609F" w:rsidRDefault="0078609F" w:rsidP="00D215AE">
      <w:pPr>
        <w:spacing w:before="0" w:after="0" w:line="240" w:lineRule="auto"/>
      </w:pPr>
      <w:r>
        <w:separator/>
      </w:r>
    </w:p>
  </w:footnote>
  <w:footnote w:type="continuationSeparator" w:id="0">
    <w:p w14:paraId="1432B12A" w14:textId="77777777" w:rsidR="0078609F" w:rsidRDefault="0078609F" w:rsidP="00D215AE">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187C6D" w14:textId="77777777" w:rsidR="009F4151" w:rsidRPr="00D215AE" w:rsidRDefault="009F4151" w:rsidP="00D215AE">
    <w:pPr>
      <w:pStyle w:val="Encabezado"/>
      <w:spacing w:beforeAutospacing="0" w:afterAutospacing="0"/>
      <w:jc w:val="center"/>
      <w:rPr>
        <w:rFonts w:ascii="Arial" w:eastAsia="SimSun" w:hAnsi="Arial" w:cs="Arial"/>
        <w:b/>
        <w:bCs/>
        <w:i/>
        <w:iCs/>
        <w:color w:val="0066CC"/>
        <w:kern w:val="3"/>
        <w:sz w:val="24"/>
        <w:szCs w:val="24"/>
        <w:lang w:val="es-ES" w:eastAsia="zh-CN" w:bidi="hi-IN"/>
      </w:rPr>
    </w:pPr>
    <w:r w:rsidRPr="00D215AE">
      <w:rPr>
        <w:rFonts w:ascii="Arial" w:eastAsia="SimSun" w:hAnsi="Arial" w:cs="Arial"/>
        <w:b/>
        <w:bCs/>
        <w:i/>
        <w:iCs/>
        <w:color w:val="0066CC"/>
        <w:kern w:val="3"/>
        <w:sz w:val="24"/>
        <w:szCs w:val="24"/>
        <w:lang w:val="es-ES" w:eastAsia="zh-CN" w:bidi="hi-IN"/>
      </w:rPr>
      <w:t>INSTITUTO COSTARRICENSE DE ACUEDUCTOS Y ALCANTARILLADOS</w:t>
    </w:r>
  </w:p>
  <w:p w14:paraId="076A2BEE" w14:textId="77777777" w:rsidR="009F4151" w:rsidRPr="00D215AE" w:rsidRDefault="009F4151" w:rsidP="00D215AE">
    <w:pPr>
      <w:pStyle w:val="Encabezado"/>
      <w:spacing w:beforeAutospacing="0" w:afterAutospacing="0"/>
      <w:jc w:val="center"/>
      <w:rPr>
        <w:sz w:val="24"/>
        <w:szCs w:val="24"/>
      </w:rPr>
    </w:pPr>
    <w:r w:rsidRPr="00D215AE">
      <w:rPr>
        <w:rFonts w:ascii="Arial" w:eastAsia="Times New Roman" w:hAnsi="Arial" w:cs="Arial"/>
        <w:b/>
        <w:bCs/>
        <w:i/>
        <w:iCs/>
        <w:color w:val="0066CC"/>
        <w:kern w:val="3"/>
        <w:sz w:val="24"/>
        <w:szCs w:val="24"/>
        <w:lang w:eastAsia="es-CR"/>
      </w:rPr>
      <w:t>INFORME EJECUTIVO</w:t>
    </w:r>
  </w:p>
  <w:p w14:paraId="0F240422" w14:textId="77777777" w:rsidR="009F4151" w:rsidRDefault="009F415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lvl w:ilvl="0">
      <w:start w:val="1"/>
      <w:numFmt w:val="bullet"/>
      <w:lvlText w:val=""/>
      <w:lvlJc w:val="left"/>
      <w:pPr>
        <w:ind w:left="720" w:hanging="360"/>
      </w:pPr>
      <w:rPr>
        <w:rFonts w:ascii="Wingdings" w:eastAsia="Times New Roman" w:hAnsi="Wingdings" w:cs="Wingdings"/>
        <w:color w:val="auto"/>
        <w:spacing w:val="-5"/>
        <w:sz w:val="26"/>
        <w:szCs w:val="26"/>
      </w:rPr>
    </w:lvl>
    <w:lvl w:ilvl="1">
      <w:start w:val="1"/>
      <w:numFmt w:val="bullet"/>
      <w:lvlText w:val=""/>
      <w:lvlJc w:val="left"/>
      <w:pPr>
        <w:ind w:left="1080" w:hanging="360"/>
      </w:pPr>
      <w:rPr>
        <w:rFonts w:ascii="Symbol" w:eastAsia="Times New Roman" w:hAnsi="Symbol" w:cs="Symbol"/>
        <w:color w:val="auto"/>
        <w:sz w:val="26"/>
        <w:szCs w:val="26"/>
      </w:rPr>
    </w:lvl>
    <w:lvl w:ilvl="2">
      <w:start w:val="1"/>
      <w:numFmt w:val="bullet"/>
      <w:lvlText w:val=""/>
      <w:lvlJc w:val="left"/>
      <w:pPr>
        <w:ind w:left="1440" w:hanging="360"/>
      </w:pPr>
      <w:rPr>
        <w:rFonts w:ascii="Symbol" w:eastAsia="Times New Roman" w:hAnsi="Symbol" w:cs="Symbol"/>
        <w:color w:val="auto"/>
        <w:sz w:val="26"/>
        <w:szCs w:val="26"/>
      </w:rPr>
    </w:lvl>
    <w:lvl w:ilvl="3">
      <w:start w:val="1"/>
      <w:numFmt w:val="bullet"/>
      <w:lvlText w:val=""/>
      <w:lvlJc w:val="left"/>
      <w:pPr>
        <w:ind w:left="1800" w:hanging="360"/>
      </w:pPr>
      <w:rPr>
        <w:rFonts w:ascii="Symbol" w:eastAsia="Times New Roman" w:hAnsi="Symbol" w:cs="Symbol"/>
        <w:color w:val="auto"/>
        <w:sz w:val="26"/>
        <w:szCs w:val="26"/>
      </w:rPr>
    </w:lvl>
    <w:lvl w:ilvl="4">
      <w:start w:val="1"/>
      <w:numFmt w:val="bullet"/>
      <w:lvlText w:val=""/>
      <w:lvlJc w:val="left"/>
      <w:pPr>
        <w:ind w:left="2160" w:hanging="360"/>
      </w:pPr>
      <w:rPr>
        <w:rFonts w:ascii="Symbol" w:eastAsia="Times New Roman" w:hAnsi="Symbol" w:cs="Symbol"/>
        <w:color w:val="auto"/>
        <w:sz w:val="26"/>
        <w:szCs w:val="26"/>
      </w:rPr>
    </w:lvl>
    <w:lvl w:ilvl="5">
      <w:start w:val="1"/>
      <w:numFmt w:val="bullet"/>
      <w:lvlText w:val=""/>
      <w:lvlJc w:val="left"/>
      <w:pPr>
        <w:ind w:left="2520" w:hanging="360"/>
      </w:pPr>
      <w:rPr>
        <w:rFonts w:ascii="Symbol" w:eastAsia="Times New Roman" w:hAnsi="Symbol" w:cs="Symbol"/>
        <w:color w:val="auto"/>
        <w:sz w:val="26"/>
        <w:szCs w:val="26"/>
      </w:rPr>
    </w:lvl>
    <w:lvl w:ilvl="6">
      <w:start w:val="1"/>
      <w:numFmt w:val="bullet"/>
      <w:lvlText w:val=""/>
      <w:lvlJc w:val="left"/>
      <w:pPr>
        <w:ind w:left="2880" w:hanging="360"/>
      </w:pPr>
      <w:rPr>
        <w:rFonts w:ascii="Symbol" w:eastAsia="Times New Roman" w:hAnsi="Symbol" w:cs="Symbol"/>
        <w:color w:val="auto"/>
        <w:sz w:val="26"/>
        <w:szCs w:val="26"/>
      </w:rPr>
    </w:lvl>
    <w:lvl w:ilvl="7">
      <w:start w:val="1"/>
      <w:numFmt w:val="bullet"/>
      <w:lvlText w:val=""/>
      <w:lvlJc w:val="left"/>
      <w:pPr>
        <w:ind w:left="3240" w:hanging="360"/>
      </w:pPr>
      <w:rPr>
        <w:rFonts w:ascii="Symbol" w:eastAsia="Times New Roman" w:hAnsi="Symbol" w:cs="Symbol"/>
        <w:color w:val="auto"/>
        <w:sz w:val="26"/>
        <w:szCs w:val="26"/>
      </w:rPr>
    </w:lvl>
    <w:lvl w:ilvl="8">
      <w:start w:val="1"/>
      <w:numFmt w:val="bullet"/>
      <w:lvlText w:val=""/>
      <w:lvlJc w:val="left"/>
      <w:pPr>
        <w:ind w:left="3600" w:hanging="360"/>
      </w:pPr>
      <w:rPr>
        <w:rFonts w:ascii="Symbol" w:eastAsia="Times New Roman" w:hAnsi="Symbol" w:cs="Symbol"/>
        <w:color w:val="auto"/>
        <w:sz w:val="26"/>
        <w:szCs w:val="26"/>
      </w:rPr>
    </w:lvl>
  </w:abstractNum>
  <w:abstractNum w:abstractNumId="1" w15:restartNumberingAfterBreak="0">
    <w:nsid w:val="00975116"/>
    <w:multiLevelType w:val="hybridMultilevel"/>
    <w:tmpl w:val="5260C166"/>
    <w:lvl w:ilvl="0" w:tplc="140A0001">
      <w:start w:val="1"/>
      <w:numFmt w:val="bullet"/>
      <w:lvlText w:val=""/>
      <w:lvlJc w:val="left"/>
      <w:pPr>
        <w:ind w:left="1003" w:hanging="360"/>
      </w:pPr>
      <w:rPr>
        <w:rFonts w:ascii="Symbol" w:hAnsi="Symbol" w:hint="default"/>
      </w:rPr>
    </w:lvl>
    <w:lvl w:ilvl="1" w:tplc="140A0003" w:tentative="1">
      <w:start w:val="1"/>
      <w:numFmt w:val="bullet"/>
      <w:lvlText w:val="o"/>
      <w:lvlJc w:val="left"/>
      <w:pPr>
        <w:ind w:left="1723" w:hanging="360"/>
      </w:pPr>
      <w:rPr>
        <w:rFonts w:ascii="Courier New" w:hAnsi="Courier New" w:cs="Courier New" w:hint="default"/>
      </w:rPr>
    </w:lvl>
    <w:lvl w:ilvl="2" w:tplc="140A0005" w:tentative="1">
      <w:start w:val="1"/>
      <w:numFmt w:val="bullet"/>
      <w:lvlText w:val=""/>
      <w:lvlJc w:val="left"/>
      <w:pPr>
        <w:ind w:left="2443" w:hanging="360"/>
      </w:pPr>
      <w:rPr>
        <w:rFonts w:ascii="Wingdings" w:hAnsi="Wingdings" w:hint="default"/>
      </w:rPr>
    </w:lvl>
    <w:lvl w:ilvl="3" w:tplc="140A0001" w:tentative="1">
      <w:start w:val="1"/>
      <w:numFmt w:val="bullet"/>
      <w:lvlText w:val=""/>
      <w:lvlJc w:val="left"/>
      <w:pPr>
        <w:ind w:left="3163" w:hanging="360"/>
      </w:pPr>
      <w:rPr>
        <w:rFonts w:ascii="Symbol" w:hAnsi="Symbol" w:hint="default"/>
      </w:rPr>
    </w:lvl>
    <w:lvl w:ilvl="4" w:tplc="140A0003" w:tentative="1">
      <w:start w:val="1"/>
      <w:numFmt w:val="bullet"/>
      <w:lvlText w:val="o"/>
      <w:lvlJc w:val="left"/>
      <w:pPr>
        <w:ind w:left="3883" w:hanging="360"/>
      </w:pPr>
      <w:rPr>
        <w:rFonts w:ascii="Courier New" w:hAnsi="Courier New" w:cs="Courier New" w:hint="default"/>
      </w:rPr>
    </w:lvl>
    <w:lvl w:ilvl="5" w:tplc="140A0005" w:tentative="1">
      <w:start w:val="1"/>
      <w:numFmt w:val="bullet"/>
      <w:lvlText w:val=""/>
      <w:lvlJc w:val="left"/>
      <w:pPr>
        <w:ind w:left="4603" w:hanging="360"/>
      </w:pPr>
      <w:rPr>
        <w:rFonts w:ascii="Wingdings" w:hAnsi="Wingdings" w:hint="default"/>
      </w:rPr>
    </w:lvl>
    <w:lvl w:ilvl="6" w:tplc="140A0001" w:tentative="1">
      <w:start w:val="1"/>
      <w:numFmt w:val="bullet"/>
      <w:lvlText w:val=""/>
      <w:lvlJc w:val="left"/>
      <w:pPr>
        <w:ind w:left="5323" w:hanging="360"/>
      </w:pPr>
      <w:rPr>
        <w:rFonts w:ascii="Symbol" w:hAnsi="Symbol" w:hint="default"/>
      </w:rPr>
    </w:lvl>
    <w:lvl w:ilvl="7" w:tplc="140A0003" w:tentative="1">
      <w:start w:val="1"/>
      <w:numFmt w:val="bullet"/>
      <w:lvlText w:val="o"/>
      <w:lvlJc w:val="left"/>
      <w:pPr>
        <w:ind w:left="6043" w:hanging="360"/>
      </w:pPr>
      <w:rPr>
        <w:rFonts w:ascii="Courier New" w:hAnsi="Courier New" w:cs="Courier New" w:hint="default"/>
      </w:rPr>
    </w:lvl>
    <w:lvl w:ilvl="8" w:tplc="140A0005" w:tentative="1">
      <w:start w:val="1"/>
      <w:numFmt w:val="bullet"/>
      <w:lvlText w:val=""/>
      <w:lvlJc w:val="left"/>
      <w:pPr>
        <w:ind w:left="6763" w:hanging="360"/>
      </w:pPr>
      <w:rPr>
        <w:rFonts w:ascii="Wingdings" w:hAnsi="Wingdings" w:hint="default"/>
      </w:rPr>
    </w:lvl>
  </w:abstractNum>
  <w:abstractNum w:abstractNumId="2" w15:restartNumberingAfterBreak="0">
    <w:nsid w:val="04FE431A"/>
    <w:multiLevelType w:val="hybridMultilevel"/>
    <w:tmpl w:val="A68AA6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6A17F7A"/>
    <w:multiLevelType w:val="multilevel"/>
    <w:tmpl w:val="779C1FF4"/>
    <w:styleLink w:val="WW8Num6"/>
    <w:lvl w:ilvl="0">
      <w:numFmt w:val="bullet"/>
      <w:lvlText w:val=""/>
      <w:lvlJc w:val="left"/>
      <w:pPr>
        <w:ind w:left="720" w:hanging="360"/>
      </w:pPr>
      <w:rPr>
        <w:rFonts w:ascii="Symbol" w:eastAsia="Times New Roman" w:hAnsi="Symbol" w:cs="Symbol"/>
        <w:b w:val="0"/>
        <w:bCs/>
        <w:color w:val="00000A"/>
        <w:sz w:val="22"/>
        <w:szCs w:val="22"/>
        <w:lang w:eastAsia="ar-SA" w:bidi="ar-SA"/>
      </w:rPr>
    </w:lvl>
    <w:lvl w:ilvl="1">
      <w:numFmt w:val="bullet"/>
      <w:lvlText w:val=""/>
      <w:lvlJc w:val="left"/>
      <w:pPr>
        <w:ind w:left="1080" w:hanging="360"/>
      </w:pPr>
      <w:rPr>
        <w:rFonts w:ascii="Symbol" w:eastAsia="Times New Roman" w:hAnsi="Symbol" w:cs="Symbol"/>
        <w:b w:val="0"/>
        <w:bCs/>
        <w:color w:val="00000A"/>
        <w:sz w:val="22"/>
        <w:szCs w:val="22"/>
        <w:lang w:eastAsia="ar-SA" w:bidi="ar-SA"/>
      </w:rPr>
    </w:lvl>
    <w:lvl w:ilvl="2">
      <w:numFmt w:val="bullet"/>
      <w:lvlText w:val=""/>
      <w:lvlJc w:val="left"/>
      <w:pPr>
        <w:ind w:left="1440" w:hanging="360"/>
      </w:pPr>
      <w:rPr>
        <w:rFonts w:ascii="Symbol" w:eastAsia="Times New Roman" w:hAnsi="Symbol" w:cs="Symbol"/>
        <w:b w:val="0"/>
        <w:bCs/>
        <w:color w:val="00000A"/>
        <w:sz w:val="22"/>
        <w:szCs w:val="22"/>
        <w:lang w:eastAsia="ar-SA" w:bidi="ar-SA"/>
      </w:rPr>
    </w:lvl>
    <w:lvl w:ilvl="3">
      <w:numFmt w:val="bullet"/>
      <w:lvlText w:val=""/>
      <w:lvlJc w:val="left"/>
      <w:pPr>
        <w:ind w:left="1800" w:hanging="360"/>
      </w:pPr>
      <w:rPr>
        <w:rFonts w:ascii="Symbol" w:eastAsia="Times New Roman" w:hAnsi="Symbol" w:cs="Symbol"/>
        <w:b w:val="0"/>
        <w:bCs/>
        <w:color w:val="00000A"/>
        <w:sz w:val="22"/>
        <w:szCs w:val="22"/>
        <w:lang w:eastAsia="ar-SA" w:bidi="ar-SA"/>
      </w:rPr>
    </w:lvl>
    <w:lvl w:ilvl="4">
      <w:numFmt w:val="bullet"/>
      <w:lvlText w:val=""/>
      <w:lvlJc w:val="left"/>
      <w:pPr>
        <w:ind w:left="2160" w:hanging="360"/>
      </w:pPr>
      <w:rPr>
        <w:rFonts w:ascii="Symbol" w:eastAsia="Times New Roman" w:hAnsi="Symbol" w:cs="Symbol"/>
        <w:b w:val="0"/>
        <w:bCs/>
        <w:color w:val="00000A"/>
        <w:sz w:val="22"/>
        <w:szCs w:val="22"/>
        <w:lang w:eastAsia="ar-SA" w:bidi="ar-SA"/>
      </w:rPr>
    </w:lvl>
    <w:lvl w:ilvl="5">
      <w:numFmt w:val="bullet"/>
      <w:lvlText w:val=""/>
      <w:lvlJc w:val="left"/>
      <w:pPr>
        <w:ind w:left="2520" w:hanging="360"/>
      </w:pPr>
      <w:rPr>
        <w:rFonts w:ascii="Symbol" w:eastAsia="Times New Roman" w:hAnsi="Symbol" w:cs="Symbol"/>
        <w:b w:val="0"/>
        <w:bCs/>
        <w:color w:val="00000A"/>
        <w:sz w:val="22"/>
        <w:szCs w:val="22"/>
        <w:lang w:eastAsia="ar-SA" w:bidi="ar-SA"/>
      </w:rPr>
    </w:lvl>
    <w:lvl w:ilvl="6">
      <w:numFmt w:val="bullet"/>
      <w:lvlText w:val=""/>
      <w:lvlJc w:val="left"/>
      <w:pPr>
        <w:ind w:left="2880" w:hanging="360"/>
      </w:pPr>
      <w:rPr>
        <w:rFonts w:ascii="Symbol" w:eastAsia="Times New Roman" w:hAnsi="Symbol" w:cs="Symbol"/>
        <w:b w:val="0"/>
        <w:bCs/>
        <w:color w:val="00000A"/>
        <w:sz w:val="22"/>
        <w:szCs w:val="22"/>
        <w:lang w:eastAsia="ar-SA" w:bidi="ar-SA"/>
      </w:rPr>
    </w:lvl>
    <w:lvl w:ilvl="7">
      <w:numFmt w:val="bullet"/>
      <w:lvlText w:val=""/>
      <w:lvlJc w:val="left"/>
      <w:pPr>
        <w:ind w:left="3240" w:hanging="360"/>
      </w:pPr>
      <w:rPr>
        <w:rFonts w:ascii="Symbol" w:eastAsia="Times New Roman" w:hAnsi="Symbol" w:cs="Symbol"/>
        <w:b w:val="0"/>
        <w:bCs/>
        <w:color w:val="00000A"/>
        <w:sz w:val="22"/>
        <w:szCs w:val="22"/>
        <w:lang w:eastAsia="ar-SA" w:bidi="ar-SA"/>
      </w:rPr>
    </w:lvl>
    <w:lvl w:ilvl="8">
      <w:numFmt w:val="bullet"/>
      <w:lvlText w:val=""/>
      <w:lvlJc w:val="left"/>
      <w:pPr>
        <w:ind w:left="3600" w:hanging="360"/>
      </w:pPr>
      <w:rPr>
        <w:rFonts w:ascii="Symbol" w:eastAsia="Times New Roman" w:hAnsi="Symbol" w:cs="Symbol"/>
        <w:b w:val="0"/>
        <w:bCs/>
        <w:color w:val="00000A"/>
        <w:sz w:val="22"/>
        <w:szCs w:val="22"/>
        <w:lang w:eastAsia="ar-SA" w:bidi="ar-SA"/>
      </w:rPr>
    </w:lvl>
  </w:abstractNum>
  <w:abstractNum w:abstractNumId="4" w15:restartNumberingAfterBreak="0">
    <w:nsid w:val="073D565E"/>
    <w:multiLevelType w:val="multilevel"/>
    <w:tmpl w:val="4E627AE2"/>
    <w:styleLink w:val="WWNum2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0AE8173F"/>
    <w:multiLevelType w:val="multilevel"/>
    <w:tmpl w:val="04FA2D8C"/>
    <w:styleLink w:val="WW8Num11"/>
    <w:lvl w:ilvl="0">
      <w:numFmt w:val="bullet"/>
      <w:lvlText w:val=""/>
      <w:lvlJc w:val="left"/>
      <w:pPr>
        <w:ind w:left="720" w:hanging="360"/>
      </w:pPr>
      <w:rPr>
        <w:rFonts w:ascii="Symbol" w:eastAsia="Times New Roman" w:hAnsi="Symbol" w:cs="Symbol"/>
        <w:color w:val="00000A"/>
        <w:sz w:val="22"/>
        <w:szCs w:val="22"/>
        <w:lang w:val="es-ES" w:eastAsia="ar-SA" w:bidi="ar-SA"/>
      </w:rPr>
    </w:lvl>
    <w:lvl w:ilvl="1">
      <w:numFmt w:val="bullet"/>
      <w:lvlText w:val=""/>
      <w:lvlJc w:val="left"/>
      <w:pPr>
        <w:ind w:left="1080" w:hanging="360"/>
      </w:pPr>
      <w:rPr>
        <w:rFonts w:ascii="Symbol" w:eastAsia="Times New Roman" w:hAnsi="Symbol" w:cs="Symbol"/>
        <w:color w:val="00000A"/>
        <w:sz w:val="22"/>
        <w:szCs w:val="22"/>
        <w:lang w:val="es-ES" w:eastAsia="ar-SA" w:bidi="ar-SA"/>
      </w:rPr>
    </w:lvl>
    <w:lvl w:ilvl="2">
      <w:numFmt w:val="bullet"/>
      <w:lvlText w:val=""/>
      <w:lvlJc w:val="left"/>
      <w:pPr>
        <w:ind w:left="1440" w:hanging="360"/>
      </w:pPr>
      <w:rPr>
        <w:rFonts w:ascii="Symbol" w:eastAsia="Times New Roman" w:hAnsi="Symbol" w:cs="Symbol"/>
        <w:color w:val="00000A"/>
        <w:sz w:val="22"/>
        <w:szCs w:val="22"/>
        <w:lang w:val="es-ES" w:eastAsia="ar-SA" w:bidi="ar-SA"/>
      </w:rPr>
    </w:lvl>
    <w:lvl w:ilvl="3">
      <w:numFmt w:val="bullet"/>
      <w:lvlText w:val=""/>
      <w:lvlJc w:val="left"/>
      <w:pPr>
        <w:ind w:left="1800" w:hanging="360"/>
      </w:pPr>
      <w:rPr>
        <w:rFonts w:ascii="Symbol" w:eastAsia="Times New Roman" w:hAnsi="Symbol" w:cs="Symbol"/>
        <w:color w:val="00000A"/>
        <w:sz w:val="22"/>
        <w:szCs w:val="22"/>
        <w:lang w:val="es-ES" w:eastAsia="ar-SA" w:bidi="ar-SA"/>
      </w:rPr>
    </w:lvl>
    <w:lvl w:ilvl="4">
      <w:numFmt w:val="bullet"/>
      <w:lvlText w:val=""/>
      <w:lvlJc w:val="left"/>
      <w:pPr>
        <w:ind w:left="2160" w:hanging="360"/>
      </w:pPr>
      <w:rPr>
        <w:rFonts w:ascii="Symbol" w:eastAsia="Times New Roman" w:hAnsi="Symbol" w:cs="Symbol"/>
        <w:color w:val="00000A"/>
        <w:sz w:val="22"/>
        <w:szCs w:val="22"/>
        <w:lang w:val="es-ES" w:eastAsia="ar-SA" w:bidi="ar-SA"/>
      </w:rPr>
    </w:lvl>
    <w:lvl w:ilvl="5">
      <w:numFmt w:val="bullet"/>
      <w:lvlText w:val=""/>
      <w:lvlJc w:val="left"/>
      <w:pPr>
        <w:ind w:left="2520" w:hanging="360"/>
      </w:pPr>
      <w:rPr>
        <w:rFonts w:ascii="Symbol" w:eastAsia="Times New Roman" w:hAnsi="Symbol" w:cs="Symbol"/>
        <w:color w:val="00000A"/>
        <w:sz w:val="22"/>
        <w:szCs w:val="22"/>
        <w:lang w:val="es-ES" w:eastAsia="ar-SA" w:bidi="ar-SA"/>
      </w:rPr>
    </w:lvl>
    <w:lvl w:ilvl="6">
      <w:numFmt w:val="bullet"/>
      <w:lvlText w:val=""/>
      <w:lvlJc w:val="left"/>
      <w:pPr>
        <w:ind w:left="2880" w:hanging="360"/>
      </w:pPr>
      <w:rPr>
        <w:rFonts w:ascii="Symbol" w:eastAsia="Times New Roman" w:hAnsi="Symbol" w:cs="Symbol"/>
        <w:color w:val="00000A"/>
        <w:sz w:val="22"/>
        <w:szCs w:val="22"/>
        <w:lang w:val="es-ES" w:eastAsia="ar-SA" w:bidi="ar-SA"/>
      </w:rPr>
    </w:lvl>
    <w:lvl w:ilvl="7">
      <w:numFmt w:val="bullet"/>
      <w:lvlText w:val=""/>
      <w:lvlJc w:val="left"/>
      <w:pPr>
        <w:ind w:left="3240" w:hanging="360"/>
      </w:pPr>
      <w:rPr>
        <w:rFonts w:ascii="Symbol" w:eastAsia="Times New Roman" w:hAnsi="Symbol" w:cs="Symbol"/>
        <w:color w:val="00000A"/>
        <w:sz w:val="22"/>
        <w:szCs w:val="22"/>
        <w:lang w:val="es-ES" w:eastAsia="ar-SA" w:bidi="ar-SA"/>
      </w:rPr>
    </w:lvl>
    <w:lvl w:ilvl="8">
      <w:numFmt w:val="bullet"/>
      <w:lvlText w:val=""/>
      <w:lvlJc w:val="left"/>
      <w:pPr>
        <w:ind w:left="3600" w:hanging="360"/>
      </w:pPr>
      <w:rPr>
        <w:rFonts w:ascii="Symbol" w:eastAsia="Times New Roman" w:hAnsi="Symbol" w:cs="Symbol"/>
        <w:color w:val="00000A"/>
        <w:sz w:val="22"/>
        <w:szCs w:val="22"/>
        <w:lang w:val="es-ES" w:eastAsia="ar-SA" w:bidi="ar-SA"/>
      </w:rPr>
    </w:lvl>
  </w:abstractNum>
  <w:abstractNum w:abstractNumId="6" w15:restartNumberingAfterBreak="0">
    <w:nsid w:val="0D1C270E"/>
    <w:multiLevelType w:val="multilevel"/>
    <w:tmpl w:val="0F440404"/>
    <w:styleLink w:val="WWNum25"/>
    <w:lvl w:ilvl="0">
      <w:start w:val="1"/>
      <w:numFmt w:val="decimal"/>
      <w:lvlText w:val="%1)"/>
      <w:lvlJc w:val="left"/>
      <w:pPr>
        <w:ind w:left="720" w:hanging="360"/>
      </w:pPr>
      <w:rPr>
        <w:rFonts w:eastAsia="Times New Roman" w:cs="Symbol"/>
        <w:b w:val="0"/>
        <w:bCs/>
        <w:sz w:val="22"/>
        <w:szCs w:val="22"/>
        <w:lang w:eastAsia="ar-SA" w:bidi="ar-SA"/>
      </w:rPr>
    </w:lvl>
    <w:lvl w:ilvl="1">
      <w:numFmt w:val="bullet"/>
      <w:lvlText w:val="◦"/>
      <w:lvlJc w:val="left"/>
      <w:pPr>
        <w:ind w:left="1080" w:hanging="360"/>
      </w:pPr>
      <w:rPr>
        <w:rFonts w:ascii="OpenSymbol" w:hAnsi="OpenSymbol" w:cs="Symbol"/>
        <w:sz w:val="22"/>
        <w:szCs w:val="22"/>
      </w:rPr>
    </w:lvl>
    <w:lvl w:ilvl="2">
      <w:numFmt w:val="bullet"/>
      <w:lvlText w:val="▪"/>
      <w:lvlJc w:val="left"/>
      <w:pPr>
        <w:ind w:left="1440" w:hanging="360"/>
      </w:pPr>
      <w:rPr>
        <w:rFonts w:ascii="OpenSymbol" w:hAnsi="OpenSymbol" w:cs="Symbol"/>
        <w:sz w:val="22"/>
        <w:szCs w:val="22"/>
      </w:rPr>
    </w:lvl>
    <w:lvl w:ilvl="3">
      <w:numFmt w:val="bullet"/>
      <w:lvlText w:val=""/>
      <w:lvlJc w:val="left"/>
      <w:pPr>
        <w:ind w:left="1800" w:hanging="360"/>
      </w:pPr>
      <w:rPr>
        <w:rFonts w:ascii="Symbol" w:hAnsi="Symbol"/>
      </w:rPr>
    </w:lvl>
    <w:lvl w:ilvl="4">
      <w:numFmt w:val="bullet"/>
      <w:lvlText w:val="◦"/>
      <w:lvlJc w:val="left"/>
      <w:pPr>
        <w:ind w:left="2160" w:hanging="360"/>
      </w:pPr>
      <w:rPr>
        <w:rFonts w:ascii="OpenSymbol" w:hAnsi="OpenSymbol" w:cs="Symbol"/>
        <w:sz w:val="22"/>
        <w:szCs w:val="22"/>
      </w:rPr>
    </w:lvl>
    <w:lvl w:ilvl="5">
      <w:numFmt w:val="bullet"/>
      <w:lvlText w:val="▪"/>
      <w:lvlJc w:val="left"/>
      <w:pPr>
        <w:ind w:left="2520" w:hanging="360"/>
      </w:pPr>
      <w:rPr>
        <w:rFonts w:ascii="OpenSymbol" w:hAnsi="OpenSymbol" w:cs="Symbol"/>
        <w:sz w:val="22"/>
        <w:szCs w:val="22"/>
      </w:rPr>
    </w:lvl>
    <w:lvl w:ilvl="6">
      <w:numFmt w:val="bullet"/>
      <w:lvlText w:val=""/>
      <w:lvlJc w:val="left"/>
      <w:pPr>
        <w:ind w:left="2880" w:hanging="360"/>
      </w:pPr>
      <w:rPr>
        <w:rFonts w:ascii="Symbol" w:hAnsi="Symbol"/>
      </w:rPr>
    </w:lvl>
    <w:lvl w:ilvl="7">
      <w:numFmt w:val="bullet"/>
      <w:lvlText w:val="◦"/>
      <w:lvlJc w:val="left"/>
      <w:pPr>
        <w:ind w:left="3240" w:hanging="360"/>
      </w:pPr>
      <w:rPr>
        <w:rFonts w:ascii="OpenSymbol" w:hAnsi="OpenSymbol" w:cs="Symbol"/>
        <w:sz w:val="22"/>
        <w:szCs w:val="22"/>
      </w:rPr>
    </w:lvl>
    <w:lvl w:ilvl="8">
      <w:numFmt w:val="bullet"/>
      <w:lvlText w:val="▪"/>
      <w:lvlJc w:val="left"/>
      <w:pPr>
        <w:ind w:left="3600" w:hanging="360"/>
      </w:pPr>
      <w:rPr>
        <w:rFonts w:ascii="OpenSymbol" w:hAnsi="OpenSymbol" w:cs="Symbol"/>
        <w:sz w:val="22"/>
        <w:szCs w:val="22"/>
      </w:rPr>
    </w:lvl>
  </w:abstractNum>
  <w:abstractNum w:abstractNumId="7" w15:restartNumberingAfterBreak="0">
    <w:nsid w:val="11E52F98"/>
    <w:multiLevelType w:val="multilevel"/>
    <w:tmpl w:val="099ACA06"/>
    <w:styleLink w:val="WWNum11"/>
    <w:lvl w:ilvl="0">
      <w:numFmt w:val="bullet"/>
      <w:lvlText w:val=""/>
      <w:lvlJc w:val="left"/>
      <w:pPr>
        <w:ind w:left="720" w:hanging="360"/>
      </w:pPr>
      <w:rPr>
        <w:rFonts w:ascii="Symbol" w:hAnsi="Symbol" w:cs="Symbol"/>
        <w:sz w:val="22"/>
        <w:szCs w:val="22"/>
        <w:lang w:val="es-ES" w:eastAsia="ar-SA" w:bidi="ar-SA"/>
      </w:rPr>
    </w:lvl>
    <w:lvl w:ilvl="1">
      <w:numFmt w:val="bullet"/>
      <w:lvlText w:val=""/>
      <w:lvlJc w:val="left"/>
      <w:pPr>
        <w:ind w:left="1080" w:hanging="360"/>
      </w:pPr>
      <w:rPr>
        <w:rFonts w:ascii="Symbol" w:hAnsi="Symbol" w:cs="OpenSymbol"/>
      </w:rPr>
    </w:lvl>
    <w:lvl w:ilvl="2">
      <w:numFmt w:val="bullet"/>
      <w:lvlText w:val=""/>
      <w:lvlJc w:val="left"/>
      <w:pPr>
        <w:ind w:left="1440" w:hanging="360"/>
      </w:pPr>
      <w:rPr>
        <w:rFonts w:ascii="Symbol" w:hAnsi="Symbol" w:cs="OpenSymbol"/>
      </w:rPr>
    </w:lvl>
    <w:lvl w:ilvl="3">
      <w:numFmt w:val="bullet"/>
      <w:lvlText w:val=""/>
      <w:lvlJc w:val="left"/>
      <w:pPr>
        <w:ind w:left="1800" w:hanging="360"/>
      </w:pPr>
      <w:rPr>
        <w:rFonts w:ascii="Symbol" w:hAnsi="Symbol" w:cs="OpenSymbol"/>
      </w:rPr>
    </w:lvl>
    <w:lvl w:ilvl="4">
      <w:numFmt w:val="bullet"/>
      <w:lvlText w:val=""/>
      <w:lvlJc w:val="left"/>
      <w:pPr>
        <w:ind w:left="2160" w:hanging="360"/>
      </w:pPr>
      <w:rPr>
        <w:rFonts w:ascii="Symbol" w:hAnsi="Symbol" w:cs="OpenSymbol"/>
      </w:rPr>
    </w:lvl>
    <w:lvl w:ilvl="5">
      <w:numFmt w:val="bullet"/>
      <w:lvlText w:val=""/>
      <w:lvlJc w:val="left"/>
      <w:pPr>
        <w:ind w:left="2520" w:hanging="360"/>
      </w:pPr>
      <w:rPr>
        <w:rFonts w:ascii="Symbol" w:hAnsi="Symbol" w:cs="OpenSymbol"/>
      </w:rPr>
    </w:lvl>
    <w:lvl w:ilvl="6">
      <w:numFmt w:val="bullet"/>
      <w:lvlText w:val=""/>
      <w:lvlJc w:val="left"/>
      <w:pPr>
        <w:ind w:left="2880" w:hanging="360"/>
      </w:pPr>
      <w:rPr>
        <w:rFonts w:ascii="Symbol" w:hAnsi="Symbol" w:cs="OpenSymbol"/>
      </w:rPr>
    </w:lvl>
    <w:lvl w:ilvl="7">
      <w:numFmt w:val="bullet"/>
      <w:lvlText w:val=""/>
      <w:lvlJc w:val="left"/>
      <w:pPr>
        <w:ind w:left="3240" w:hanging="360"/>
      </w:pPr>
      <w:rPr>
        <w:rFonts w:ascii="Symbol" w:hAnsi="Symbol" w:cs="OpenSymbol"/>
      </w:rPr>
    </w:lvl>
    <w:lvl w:ilvl="8">
      <w:numFmt w:val="bullet"/>
      <w:lvlText w:val=""/>
      <w:lvlJc w:val="left"/>
      <w:pPr>
        <w:ind w:left="3600" w:hanging="360"/>
      </w:pPr>
      <w:rPr>
        <w:rFonts w:ascii="Symbol" w:hAnsi="Symbol" w:cs="OpenSymbol"/>
      </w:rPr>
    </w:lvl>
  </w:abstractNum>
  <w:abstractNum w:abstractNumId="8" w15:restartNumberingAfterBreak="0">
    <w:nsid w:val="134A38FB"/>
    <w:multiLevelType w:val="hybridMultilevel"/>
    <w:tmpl w:val="6A2ED5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5354DC4"/>
    <w:multiLevelType w:val="multilevel"/>
    <w:tmpl w:val="321013F0"/>
    <w:styleLink w:val="WWNum5"/>
    <w:lvl w:ilvl="0">
      <w:start w:val="1"/>
      <w:numFmt w:val="decimal"/>
      <w:lvlText w:val="%1)"/>
      <w:lvlJc w:val="left"/>
      <w:pPr>
        <w:ind w:left="720" w:hanging="360"/>
      </w:pPr>
      <w:rPr>
        <w:rFonts w:cs="Symbol"/>
        <w:sz w:val="22"/>
        <w:szCs w:val="22"/>
        <w:lang w:val="es-CR"/>
      </w:rPr>
    </w:lvl>
    <w:lvl w:ilvl="1">
      <w:numFmt w:val="bullet"/>
      <w:lvlText w:val=""/>
      <w:lvlJc w:val="left"/>
      <w:pPr>
        <w:ind w:left="1080" w:hanging="360"/>
      </w:pPr>
      <w:rPr>
        <w:rFonts w:ascii="Symbol" w:hAnsi="Symbol" w:cs="Symbol"/>
      </w:rPr>
    </w:lvl>
    <w:lvl w:ilvl="2">
      <w:numFmt w:val="bullet"/>
      <w:lvlText w:val=""/>
      <w:lvlJc w:val="left"/>
      <w:pPr>
        <w:ind w:left="1440" w:hanging="360"/>
      </w:pPr>
      <w:rPr>
        <w:rFonts w:ascii="Symbol" w:hAnsi="Symbol" w:cs="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Symbol" w:hAnsi="Symbol" w:cs="Symbol"/>
      </w:rPr>
    </w:lvl>
    <w:lvl w:ilvl="5">
      <w:numFmt w:val="bullet"/>
      <w:lvlText w:val=""/>
      <w:lvlJc w:val="left"/>
      <w:pPr>
        <w:ind w:left="2520" w:hanging="360"/>
      </w:pPr>
      <w:rPr>
        <w:rFonts w:ascii="Symbol" w:hAnsi="Symbol" w:cs="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Symbol" w:hAnsi="Symbol" w:cs="Symbol"/>
      </w:rPr>
    </w:lvl>
    <w:lvl w:ilvl="8">
      <w:numFmt w:val="bullet"/>
      <w:lvlText w:val=""/>
      <w:lvlJc w:val="left"/>
      <w:pPr>
        <w:ind w:left="3600" w:hanging="360"/>
      </w:pPr>
      <w:rPr>
        <w:rFonts w:ascii="Symbol" w:hAnsi="Symbol" w:cs="Symbol"/>
      </w:rPr>
    </w:lvl>
  </w:abstractNum>
  <w:abstractNum w:abstractNumId="10" w15:restartNumberingAfterBreak="0">
    <w:nsid w:val="1644653D"/>
    <w:multiLevelType w:val="multilevel"/>
    <w:tmpl w:val="33189146"/>
    <w:styleLink w:val="WWNum13"/>
    <w:lvl w:ilvl="0">
      <w:numFmt w:val="bullet"/>
      <w:lvlText w:val=""/>
      <w:lvlJc w:val="left"/>
      <w:pPr>
        <w:ind w:left="720" w:hanging="360"/>
      </w:pPr>
      <w:rPr>
        <w:rFonts w:ascii="Symbol" w:hAnsi="Symbol" w:cs="Wingdings"/>
        <w:b w:val="0"/>
        <w:bCs w:val="0"/>
        <w:i w:val="0"/>
        <w:iCs w:val="0"/>
        <w:spacing w:val="-2"/>
        <w:kern w:val="3"/>
        <w:sz w:val="22"/>
        <w:szCs w:val="22"/>
        <w:lang w:val="es-CR" w:eastAsia="ar-SA" w:bidi="ar-SA"/>
      </w:rPr>
    </w:lvl>
    <w:lvl w:ilvl="1">
      <w:numFmt w:val="bullet"/>
      <w:lvlText w:val=""/>
      <w:lvlJc w:val="left"/>
      <w:pPr>
        <w:ind w:left="1080" w:hanging="360"/>
      </w:pPr>
      <w:rPr>
        <w:rFonts w:ascii="Symbol" w:hAnsi="Symbol" w:cs="Courier New"/>
      </w:rPr>
    </w:lvl>
    <w:lvl w:ilvl="2">
      <w:numFmt w:val="bullet"/>
      <w:lvlText w:val=""/>
      <w:lvlJc w:val="left"/>
      <w:pPr>
        <w:ind w:left="1440" w:hanging="360"/>
      </w:pPr>
      <w:rPr>
        <w:rFonts w:ascii="Symbol" w:hAnsi="Symbol" w:cs="Courier New"/>
      </w:rPr>
    </w:lvl>
    <w:lvl w:ilvl="3">
      <w:numFmt w:val="bullet"/>
      <w:lvlText w:val=""/>
      <w:lvlJc w:val="left"/>
      <w:pPr>
        <w:ind w:left="1800" w:hanging="360"/>
      </w:pPr>
      <w:rPr>
        <w:rFonts w:ascii="Symbol" w:hAnsi="Symbol" w:cs="Courier New"/>
      </w:rPr>
    </w:lvl>
    <w:lvl w:ilvl="4">
      <w:numFmt w:val="bullet"/>
      <w:lvlText w:val=""/>
      <w:lvlJc w:val="left"/>
      <w:pPr>
        <w:ind w:left="2160" w:hanging="360"/>
      </w:pPr>
      <w:rPr>
        <w:rFonts w:ascii="Symbol" w:hAnsi="Symbol" w:cs="Courier New"/>
      </w:rPr>
    </w:lvl>
    <w:lvl w:ilvl="5">
      <w:numFmt w:val="bullet"/>
      <w:lvlText w:val=""/>
      <w:lvlJc w:val="left"/>
      <w:pPr>
        <w:ind w:left="2520" w:hanging="360"/>
      </w:pPr>
      <w:rPr>
        <w:rFonts w:ascii="Symbol" w:hAnsi="Symbol" w:cs="Courier New"/>
      </w:rPr>
    </w:lvl>
    <w:lvl w:ilvl="6">
      <w:numFmt w:val="bullet"/>
      <w:lvlText w:val=""/>
      <w:lvlJc w:val="left"/>
      <w:pPr>
        <w:ind w:left="2880" w:hanging="360"/>
      </w:pPr>
      <w:rPr>
        <w:rFonts w:ascii="Symbol" w:hAnsi="Symbol" w:cs="Courier New"/>
      </w:rPr>
    </w:lvl>
    <w:lvl w:ilvl="7">
      <w:numFmt w:val="bullet"/>
      <w:lvlText w:val=""/>
      <w:lvlJc w:val="left"/>
      <w:pPr>
        <w:ind w:left="3240" w:hanging="360"/>
      </w:pPr>
      <w:rPr>
        <w:rFonts w:ascii="Symbol" w:hAnsi="Symbol" w:cs="Courier New"/>
      </w:rPr>
    </w:lvl>
    <w:lvl w:ilvl="8">
      <w:numFmt w:val="bullet"/>
      <w:lvlText w:val=""/>
      <w:lvlJc w:val="left"/>
      <w:pPr>
        <w:ind w:left="3600" w:hanging="360"/>
      </w:pPr>
      <w:rPr>
        <w:rFonts w:ascii="Symbol" w:hAnsi="Symbol" w:cs="Courier New"/>
      </w:rPr>
    </w:lvl>
  </w:abstractNum>
  <w:abstractNum w:abstractNumId="11" w15:restartNumberingAfterBreak="0">
    <w:nsid w:val="166711E0"/>
    <w:multiLevelType w:val="multilevel"/>
    <w:tmpl w:val="C3369B7A"/>
    <w:styleLink w:val="WW8Num2"/>
    <w:lvl w:ilvl="0">
      <w:numFmt w:val="bullet"/>
      <w:lvlText w:val=""/>
      <w:lvlJc w:val="left"/>
      <w:pPr>
        <w:ind w:left="1068" w:hanging="360"/>
      </w:pPr>
      <w:rPr>
        <w:rFonts w:ascii="Symbol" w:hAnsi="Symbol" w:cs="Wingdings"/>
        <w:color w:val="00000A"/>
        <w:sz w:val="22"/>
        <w:szCs w:val="22"/>
        <w:lang w:val="es-E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 w15:restartNumberingAfterBreak="0">
    <w:nsid w:val="1AFE4A39"/>
    <w:multiLevelType w:val="multilevel"/>
    <w:tmpl w:val="48F096F2"/>
    <w:styleLink w:val="WW8Num10"/>
    <w:lvl w:ilvl="0">
      <w:numFmt w:val="bullet"/>
      <w:lvlText w:val="•"/>
      <w:lvlJc w:val="left"/>
      <w:pPr>
        <w:ind w:left="720" w:hanging="360"/>
      </w:pPr>
      <w:rPr>
        <w:rFonts w:ascii="StarSymbol" w:hAnsi="StarSymbol"/>
        <w:sz w:val="28"/>
        <w:szCs w:val="28"/>
      </w:rPr>
    </w:lvl>
    <w:lvl w:ilvl="1">
      <w:numFmt w:val="bullet"/>
      <w:lvlText w:val=""/>
      <w:lvlJc w:val="left"/>
      <w:pPr>
        <w:ind w:left="1080" w:hanging="360"/>
      </w:pPr>
      <w:rPr>
        <w:rFonts w:ascii="Wingdings 2" w:hAnsi="Wingdings 2"/>
      </w:rPr>
    </w:lvl>
    <w:lvl w:ilvl="2">
      <w:numFmt w:val="bullet"/>
      <w:lvlText w:val=""/>
      <w:lvlJc w:val="left"/>
      <w:pPr>
        <w:ind w:left="1440" w:hanging="360"/>
      </w:pPr>
      <w:rPr>
        <w:rFonts w:ascii="Wingdings 2" w:hAnsi="Wingdings 2"/>
      </w:rPr>
    </w:lvl>
    <w:lvl w:ilvl="3">
      <w:numFmt w:val="bullet"/>
      <w:lvlText w:val=""/>
      <w:lvlJc w:val="left"/>
      <w:pPr>
        <w:ind w:left="1800" w:hanging="360"/>
      </w:pPr>
      <w:rPr>
        <w:rFonts w:ascii="Wingdings 2" w:hAnsi="Wingdings 2"/>
      </w:rPr>
    </w:lvl>
    <w:lvl w:ilvl="4">
      <w:numFmt w:val="bullet"/>
      <w:lvlText w:val=""/>
      <w:lvlJc w:val="left"/>
      <w:pPr>
        <w:ind w:left="2160" w:hanging="360"/>
      </w:pPr>
      <w:rPr>
        <w:rFonts w:ascii="Wingdings 2" w:hAnsi="Wingdings 2"/>
      </w:rPr>
    </w:lvl>
    <w:lvl w:ilvl="5">
      <w:numFmt w:val="bullet"/>
      <w:lvlText w:val=""/>
      <w:lvlJc w:val="left"/>
      <w:pPr>
        <w:ind w:left="2520" w:hanging="360"/>
      </w:pPr>
      <w:rPr>
        <w:rFonts w:ascii="Wingdings 2" w:hAnsi="Wingdings 2"/>
      </w:rPr>
    </w:lvl>
    <w:lvl w:ilvl="6">
      <w:numFmt w:val="bullet"/>
      <w:lvlText w:val=""/>
      <w:lvlJc w:val="left"/>
      <w:pPr>
        <w:ind w:left="2880" w:hanging="360"/>
      </w:pPr>
      <w:rPr>
        <w:rFonts w:ascii="Wingdings 2" w:hAnsi="Wingdings 2"/>
      </w:rPr>
    </w:lvl>
    <w:lvl w:ilvl="7">
      <w:numFmt w:val="bullet"/>
      <w:lvlText w:val=""/>
      <w:lvlJc w:val="left"/>
      <w:pPr>
        <w:ind w:left="3240" w:hanging="360"/>
      </w:pPr>
      <w:rPr>
        <w:rFonts w:ascii="Wingdings 2" w:hAnsi="Wingdings 2"/>
      </w:rPr>
    </w:lvl>
    <w:lvl w:ilvl="8">
      <w:numFmt w:val="bullet"/>
      <w:lvlText w:val=""/>
      <w:lvlJc w:val="left"/>
      <w:pPr>
        <w:ind w:left="3600" w:hanging="360"/>
      </w:pPr>
      <w:rPr>
        <w:rFonts w:ascii="Wingdings 2" w:hAnsi="Wingdings 2"/>
      </w:rPr>
    </w:lvl>
  </w:abstractNum>
  <w:abstractNum w:abstractNumId="13" w15:restartNumberingAfterBreak="0">
    <w:nsid w:val="1B7E747A"/>
    <w:multiLevelType w:val="multilevel"/>
    <w:tmpl w:val="8ED8A150"/>
    <w:styleLink w:val="RTFNum2"/>
    <w:lvl w:ilvl="0">
      <w:start w:val="1"/>
      <w:numFmt w:val="upperRoman"/>
      <w:lvlText w:val="%1."/>
      <w:lvlJc w:val="left"/>
      <w:pPr>
        <w:ind w:left="720" w:hanging="720"/>
      </w:pPr>
    </w:lvl>
    <w:lvl w:ilvl="1">
      <w:start w:val="1"/>
      <w:numFmt w:val="upperLetter"/>
      <w:lvlText w:val="%2."/>
      <w:lvlJc w:val="left"/>
      <w:pPr>
        <w:ind w:left="1440" w:hanging="720"/>
      </w:pPr>
    </w:lvl>
    <w:lvl w:ilvl="2">
      <w:start w:val="1"/>
      <w:numFmt w:val="decimal"/>
      <w:lvlText w:val="%3."/>
      <w:lvlJc w:val="left"/>
      <w:pPr>
        <w:ind w:left="2160" w:hanging="720"/>
      </w:pPr>
    </w:lvl>
    <w:lvl w:ilvl="3">
      <w:start w:val="1"/>
      <w:numFmt w:val="lowerLetter"/>
      <w:lvlText w:val="%4)"/>
      <w:lvlJc w:val="left"/>
      <w:pPr>
        <w:ind w:left="2880" w:hanging="720"/>
      </w:pPr>
    </w:lvl>
    <w:lvl w:ilvl="4">
      <w:start w:val="1"/>
      <w:numFmt w:val="decimal"/>
      <w:lvlText w:val="(%5)"/>
      <w:lvlJc w:val="left"/>
      <w:pPr>
        <w:ind w:left="3600" w:hanging="720"/>
      </w:pPr>
    </w:lvl>
    <w:lvl w:ilvl="5">
      <w:start w:val="1"/>
      <w:numFmt w:val="lowerLetter"/>
      <w:lvlText w:val="(%6)"/>
      <w:lvlJc w:val="left"/>
      <w:pPr>
        <w:ind w:left="4320" w:hanging="720"/>
      </w:pPr>
    </w:lvl>
    <w:lvl w:ilvl="6">
      <w:start w:val="1"/>
      <w:numFmt w:val="lowerRoman"/>
      <w:lvlText w:val="(%7)"/>
      <w:lvlJc w:val="left"/>
      <w:pPr>
        <w:ind w:left="5040" w:hanging="720"/>
      </w:pPr>
    </w:lvl>
    <w:lvl w:ilvl="7">
      <w:start w:val="1"/>
      <w:numFmt w:val="lowerLetter"/>
      <w:lvlText w:val="(%8)"/>
      <w:lvlJc w:val="left"/>
      <w:pPr>
        <w:ind w:left="5760" w:hanging="720"/>
      </w:pPr>
    </w:lvl>
    <w:lvl w:ilvl="8">
      <w:start w:val="1"/>
      <w:numFmt w:val="lowerRoman"/>
      <w:lvlText w:val="(%9)"/>
      <w:lvlJc w:val="left"/>
      <w:pPr>
        <w:ind w:left="6480" w:hanging="720"/>
      </w:pPr>
    </w:lvl>
  </w:abstractNum>
  <w:abstractNum w:abstractNumId="14" w15:restartNumberingAfterBreak="0">
    <w:nsid w:val="1BD33546"/>
    <w:multiLevelType w:val="hybridMultilevel"/>
    <w:tmpl w:val="4AA4F8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C452719"/>
    <w:multiLevelType w:val="multilevel"/>
    <w:tmpl w:val="3BE087AE"/>
    <w:styleLink w:val="WWNum8"/>
    <w:lvl w:ilvl="0">
      <w:numFmt w:val="bullet"/>
      <w:lvlText w:val=""/>
      <w:lvlJc w:val="left"/>
      <w:pPr>
        <w:ind w:left="787" w:hanging="360"/>
      </w:pPr>
      <w:rPr>
        <w:rFonts w:ascii="Symbol" w:hAnsi="Symbol" w:cs="Symbol"/>
        <w:sz w:val="22"/>
        <w:szCs w:val="22"/>
        <w:lang w:val="es-CR" w:eastAsia="ar-SA" w:bidi="ar-SA"/>
      </w:rPr>
    </w:lvl>
    <w:lvl w:ilvl="1">
      <w:numFmt w:val="bullet"/>
      <w:lvlText w:val="◦"/>
      <w:lvlJc w:val="left"/>
      <w:pPr>
        <w:ind w:left="1147" w:hanging="360"/>
      </w:pPr>
      <w:rPr>
        <w:rFonts w:ascii="OpenSymbol" w:hAnsi="OpenSymbol"/>
      </w:rPr>
    </w:lvl>
    <w:lvl w:ilvl="2">
      <w:numFmt w:val="bullet"/>
      <w:lvlText w:val="▪"/>
      <w:lvlJc w:val="left"/>
      <w:pPr>
        <w:ind w:left="1507" w:hanging="360"/>
      </w:pPr>
      <w:rPr>
        <w:rFonts w:ascii="OpenSymbol" w:hAnsi="OpenSymbol"/>
      </w:rPr>
    </w:lvl>
    <w:lvl w:ilvl="3">
      <w:numFmt w:val="bullet"/>
      <w:lvlText w:val=""/>
      <w:lvlJc w:val="left"/>
      <w:pPr>
        <w:ind w:left="1867" w:hanging="360"/>
      </w:pPr>
      <w:rPr>
        <w:rFonts w:ascii="Symbol" w:hAnsi="Symbol" w:cs="Symbol"/>
        <w:sz w:val="22"/>
        <w:szCs w:val="22"/>
        <w:lang w:val="es-CR" w:eastAsia="ar-SA" w:bidi="ar-SA"/>
      </w:rPr>
    </w:lvl>
    <w:lvl w:ilvl="4">
      <w:numFmt w:val="bullet"/>
      <w:lvlText w:val="◦"/>
      <w:lvlJc w:val="left"/>
      <w:pPr>
        <w:ind w:left="2227" w:hanging="360"/>
      </w:pPr>
      <w:rPr>
        <w:rFonts w:ascii="OpenSymbol" w:hAnsi="OpenSymbol"/>
      </w:rPr>
    </w:lvl>
    <w:lvl w:ilvl="5">
      <w:numFmt w:val="bullet"/>
      <w:lvlText w:val="▪"/>
      <w:lvlJc w:val="left"/>
      <w:pPr>
        <w:ind w:left="2587" w:hanging="360"/>
      </w:pPr>
      <w:rPr>
        <w:rFonts w:ascii="OpenSymbol" w:hAnsi="OpenSymbol"/>
      </w:rPr>
    </w:lvl>
    <w:lvl w:ilvl="6">
      <w:numFmt w:val="bullet"/>
      <w:lvlText w:val=""/>
      <w:lvlJc w:val="left"/>
      <w:pPr>
        <w:ind w:left="2947" w:hanging="360"/>
      </w:pPr>
      <w:rPr>
        <w:rFonts w:ascii="Symbol" w:hAnsi="Symbol" w:cs="Symbol"/>
        <w:sz w:val="22"/>
        <w:szCs w:val="22"/>
        <w:lang w:val="es-CR" w:eastAsia="ar-SA" w:bidi="ar-SA"/>
      </w:rPr>
    </w:lvl>
    <w:lvl w:ilvl="7">
      <w:numFmt w:val="bullet"/>
      <w:lvlText w:val="◦"/>
      <w:lvlJc w:val="left"/>
      <w:pPr>
        <w:ind w:left="3307" w:hanging="360"/>
      </w:pPr>
      <w:rPr>
        <w:rFonts w:ascii="OpenSymbol" w:hAnsi="OpenSymbol"/>
      </w:rPr>
    </w:lvl>
    <w:lvl w:ilvl="8">
      <w:numFmt w:val="bullet"/>
      <w:lvlText w:val="▪"/>
      <w:lvlJc w:val="left"/>
      <w:pPr>
        <w:ind w:left="3667" w:hanging="360"/>
      </w:pPr>
      <w:rPr>
        <w:rFonts w:ascii="OpenSymbol" w:hAnsi="OpenSymbol"/>
      </w:rPr>
    </w:lvl>
  </w:abstractNum>
  <w:abstractNum w:abstractNumId="16" w15:restartNumberingAfterBreak="0">
    <w:nsid w:val="1D0C10DB"/>
    <w:multiLevelType w:val="hybridMultilevel"/>
    <w:tmpl w:val="AE742C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279D6411"/>
    <w:multiLevelType w:val="multilevel"/>
    <w:tmpl w:val="5074C970"/>
    <w:styleLink w:val="WWNum1"/>
    <w:lvl w:ilvl="0">
      <w:start w:val="1"/>
      <w:numFmt w:val="none"/>
      <w:lvlText w:val="%1"/>
      <w:lvlJc w:val="left"/>
      <w:rPr>
        <w:lang w:val="es-ES"/>
      </w:r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8" w15:restartNumberingAfterBreak="0">
    <w:nsid w:val="2DF00598"/>
    <w:multiLevelType w:val="multilevel"/>
    <w:tmpl w:val="7EF284EE"/>
    <w:styleLink w:val="WWNum7"/>
    <w:lvl w:ilvl="0">
      <w:numFmt w:val="bullet"/>
      <w:lvlText w:val=""/>
      <w:lvlJc w:val="left"/>
      <w:pPr>
        <w:ind w:left="720" w:hanging="360"/>
      </w:pPr>
      <w:rPr>
        <w:rFonts w:ascii="Symbol" w:hAnsi="Symbol" w:cs="Symbol"/>
        <w:sz w:val="22"/>
        <w:szCs w:val="22"/>
        <w:lang w:val="es-CR"/>
      </w:rPr>
    </w:lvl>
    <w:lvl w:ilvl="1">
      <w:numFmt w:val="bullet"/>
      <w:lvlText w:val=""/>
      <w:lvlJc w:val="left"/>
      <w:pPr>
        <w:ind w:left="1080" w:hanging="360"/>
      </w:pPr>
      <w:rPr>
        <w:rFonts w:ascii="Symbol" w:hAnsi="Symbol" w:cs="Symbol"/>
        <w:sz w:val="22"/>
        <w:szCs w:val="22"/>
        <w:lang w:val="es-CR"/>
      </w:rPr>
    </w:lvl>
    <w:lvl w:ilvl="2">
      <w:numFmt w:val="bullet"/>
      <w:lvlText w:val=""/>
      <w:lvlJc w:val="left"/>
      <w:pPr>
        <w:ind w:left="1440" w:hanging="360"/>
      </w:pPr>
      <w:rPr>
        <w:rFonts w:ascii="Symbol" w:hAnsi="Symbol" w:cs="Symbol"/>
        <w:sz w:val="22"/>
        <w:szCs w:val="22"/>
        <w:lang w:val="es-CR"/>
      </w:rPr>
    </w:lvl>
    <w:lvl w:ilvl="3">
      <w:numFmt w:val="bullet"/>
      <w:lvlText w:val=""/>
      <w:lvlJc w:val="left"/>
      <w:pPr>
        <w:ind w:left="1800" w:hanging="360"/>
      </w:pPr>
      <w:rPr>
        <w:rFonts w:ascii="Symbol" w:hAnsi="Symbol" w:cs="Symbol"/>
        <w:sz w:val="22"/>
        <w:szCs w:val="22"/>
        <w:lang w:val="es-CR"/>
      </w:rPr>
    </w:lvl>
    <w:lvl w:ilvl="4">
      <w:numFmt w:val="bullet"/>
      <w:lvlText w:val=""/>
      <w:lvlJc w:val="left"/>
      <w:pPr>
        <w:ind w:left="2160" w:hanging="360"/>
      </w:pPr>
      <w:rPr>
        <w:rFonts w:ascii="Symbol" w:hAnsi="Symbol" w:cs="Symbol"/>
        <w:sz w:val="22"/>
        <w:szCs w:val="22"/>
        <w:lang w:val="es-CR"/>
      </w:rPr>
    </w:lvl>
    <w:lvl w:ilvl="5">
      <w:numFmt w:val="bullet"/>
      <w:lvlText w:val=""/>
      <w:lvlJc w:val="left"/>
      <w:pPr>
        <w:ind w:left="2520" w:hanging="360"/>
      </w:pPr>
      <w:rPr>
        <w:rFonts w:ascii="Symbol" w:hAnsi="Symbol" w:cs="Symbol"/>
        <w:sz w:val="22"/>
        <w:szCs w:val="22"/>
        <w:lang w:val="es-CR"/>
      </w:rPr>
    </w:lvl>
    <w:lvl w:ilvl="6">
      <w:numFmt w:val="bullet"/>
      <w:lvlText w:val=""/>
      <w:lvlJc w:val="left"/>
      <w:pPr>
        <w:ind w:left="2880" w:hanging="360"/>
      </w:pPr>
      <w:rPr>
        <w:rFonts w:ascii="Symbol" w:hAnsi="Symbol" w:cs="Symbol"/>
        <w:sz w:val="22"/>
        <w:szCs w:val="22"/>
        <w:lang w:val="es-CR"/>
      </w:rPr>
    </w:lvl>
    <w:lvl w:ilvl="7">
      <w:numFmt w:val="bullet"/>
      <w:lvlText w:val=""/>
      <w:lvlJc w:val="left"/>
      <w:pPr>
        <w:ind w:left="3240" w:hanging="360"/>
      </w:pPr>
      <w:rPr>
        <w:rFonts w:ascii="Symbol" w:hAnsi="Symbol" w:cs="Symbol"/>
        <w:sz w:val="22"/>
        <w:szCs w:val="22"/>
        <w:lang w:val="es-CR"/>
      </w:rPr>
    </w:lvl>
    <w:lvl w:ilvl="8">
      <w:numFmt w:val="bullet"/>
      <w:lvlText w:val=""/>
      <w:lvlJc w:val="left"/>
      <w:pPr>
        <w:ind w:left="3600" w:hanging="360"/>
      </w:pPr>
      <w:rPr>
        <w:rFonts w:ascii="Symbol" w:hAnsi="Symbol" w:cs="Symbol"/>
        <w:sz w:val="22"/>
        <w:szCs w:val="22"/>
        <w:lang w:val="es-CR"/>
      </w:rPr>
    </w:lvl>
  </w:abstractNum>
  <w:abstractNum w:abstractNumId="19" w15:restartNumberingAfterBreak="0">
    <w:nsid w:val="2FF87B5F"/>
    <w:multiLevelType w:val="hybridMultilevel"/>
    <w:tmpl w:val="9D9C08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30C419A0"/>
    <w:multiLevelType w:val="multilevel"/>
    <w:tmpl w:val="7FC2C134"/>
    <w:styleLink w:val="WWNum6"/>
    <w:lvl w:ilvl="0">
      <w:start w:val="1"/>
      <w:numFmt w:val="decimal"/>
      <w:lvlText w:val="%1)"/>
      <w:lvlJc w:val="left"/>
      <w:pPr>
        <w:ind w:left="720" w:hanging="360"/>
      </w:pPr>
      <w:rPr>
        <w:rFonts w:eastAsia="Times New Roman" w:cs="Symbol"/>
        <w:b w:val="0"/>
        <w:bCs/>
        <w:sz w:val="22"/>
        <w:szCs w:val="22"/>
        <w:lang w:eastAsia="ar-SA" w:bidi="ar-SA"/>
      </w:rPr>
    </w:lvl>
    <w:lvl w:ilvl="1">
      <w:numFmt w:val="bullet"/>
      <w:lvlText w:val="◦"/>
      <w:lvlJc w:val="left"/>
      <w:pPr>
        <w:ind w:left="1080" w:hanging="360"/>
      </w:pPr>
      <w:rPr>
        <w:rFonts w:ascii="OpenSymbol" w:hAnsi="OpenSymbol" w:cs="Symbol"/>
        <w:sz w:val="22"/>
        <w:szCs w:val="22"/>
      </w:rPr>
    </w:lvl>
    <w:lvl w:ilvl="2">
      <w:numFmt w:val="bullet"/>
      <w:lvlText w:val="▪"/>
      <w:lvlJc w:val="left"/>
      <w:pPr>
        <w:ind w:left="1440" w:hanging="360"/>
      </w:pPr>
      <w:rPr>
        <w:rFonts w:ascii="OpenSymbol" w:hAnsi="OpenSymbol" w:cs="Symbol"/>
        <w:sz w:val="22"/>
        <w:szCs w:val="22"/>
      </w:rPr>
    </w:lvl>
    <w:lvl w:ilvl="3">
      <w:numFmt w:val="bullet"/>
      <w:lvlText w:val=""/>
      <w:lvlJc w:val="left"/>
      <w:pPr>
        <w:ind w:left="1800" w:hanging="360"/>
      </w:pPr>
      <w:rPr>
        <w:rFonts w:ascii="Symbol" w:hAnsi="Symbol"/>
      </w:rPr>
    </w:lvl>
    <w:lvl w:ilvl="4">
      <w:numFmt w:val="bullet"/>
      <w:lvlText w:val="◦"/>
      <w:lvlJc w:val="left"/>
      <w:pPr>
        <w:ind w:left="2160" w:hanging="360"/>
      </w:pPr>
      <w:rPr>
        <w:rFonts w:ascii="OpenSymbol" w:hAnsi="OpenSymbol" w:cs="Symbol"/>
        <w:sz w:val="22"/>
        <w:szCs w:val="22"/>
      </w:rPr>
    </w:lvl>
    <w:lvl w:ilvl="5">
      <w:numFmt w:val="bullet"/>
      <w:lvlText w:val="▪"/>
      <w:lvlJc w:val="left"/>
      <w:pPr>
        <w:ind w:left="2520" w:hanging="360"/>
      </w:pPr>
      <w:rPr>
        <w:rFonts w:ascii="OpenSymbol" w:hAnsi="OpenSymbol" w:cs="Symbol"/>
        <w:sz w:val="22"/>
        <w:szCs w:val="22"/>
      </w:rPr>
    </w:lvl>
    <w:lvl w:ilvl="6">
      <w:numFmt w:val="bullet"/>
      <w:lvlText w:val=""/>
      <w:lvlJc w:val="left"/>
      <w:pPr>
        <w:ind w:left="2880" w:hanging="360"/>
      </w:pPr>
      <w:rPr>
        <w:rFonts w:ascii="Symbol" w:hAnsi="Symbol"/>
      </w:rPr>
    </w:lvl>
    <w:lvl w:ilvl="7">
      <w:numFmt w:val="bullet"/>
      <w:lvlText w:val="◦"/>
      <w:lvlJc w:val="left"/>
      <w:pPr>
        <w:ind w:left="3240" w:hanging="360"/>
      </w:pPr>
      <w:rPr>
        <w:rFonts w:ascii="OpenSymbol" w:hAnsi="OpenSymbol" w:cs="Symbol"/>
        <w:sz w:val="22"/>
        <w:szCs w:val="22"/>
      </w:rPr>
    </w:lvl>
    <w:lvl w:ilvl="8">
      <w:numFmt w:val="bullet"/>
      <w:lvlText w:val="▪"/>
      <w:lvlJc w:val="left"/>
      <w:pPr>
        <w:ind w:left="3600" w:hanging="360"/>
      </w:pPr>
      <w:rPr>
        <w:rFonts w:ascii="OpenSymbol" w:hAnsi="OpenSymbol" w:cs="Symbol"/>
        <w:sz w:val="22"/>
        <w:szCs w:val="22"/>
      </w:rPr>
    </w:lvl>
  </w:abstractNum>
  <w:abstractNum w:abstractNumId="21" w15:restartNumberingAfterBreak="0">
    <w:nsid w:val="36A5068A"/>
    <w:multiLevelType w:val="multilevel"/>
    <w:tmpl w:val="06FC6EE0"/>
    <w:styleLink w:val="WWNum3"/>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2" w15:restartNumberingAfterBreak="0">
    <w:nsid w:val="3798063A"/>
    <w:multiLevelType w:val="multilevel"/>
    <w:tmpl w:val="0862F20C"/>
    <w:styleLink w:val="WWNum2"/>
    <w:lvl w:ilvl="0">
      <w:start w:val="1"/>
      <w:numFmt w:val="none"/>
      <w:lvlText w:val="%1"/>
      <w:lvlJc w:val="left"/>
      <w:pPr>
        <w:ind w:left="432" w:hanging="432"/>
      </w:pPr>
      <w:rPr>
        <w:rFonts w:cs="Wingdings"/>
        <w:sz w:val="22"/>
        <w:szCs w:val="22"/>
        <w:lang w:val="es-ES"/>
      </w:rPr>
    </w:lvl>
    <w:lvl w:ilvl="1">
      <w:start w:val="1"/>
      <w:numFmt w:val="none"/>
      <w:lvlText w:val="%2"/>
      <w:lvlJc w:val="left"/>
      <w:pPr>
        <w:ind w:left="576" w:hanging="576"/>
      </w:pPr>
      <w:rPr>
        <w:rFonts w:cs="Wingdings"/>
        <w:sz w:val="24"/>
        <w:szCs w:val="24"/>
        <w:lang w:val="es-ES"/>
      </w:rPr>
    </w:lvl>
    <w:lvl w:ilvl="2">
      <w:start w:val="1"/>
      <w:numFmt w:val="none"/>
      <w:lvlText w:val="%3"/>
      <w:lvlJc w:val="left"/>
      <w:pPr>
        <w:ind w:left="720" w:hanging="720"/>
      </w:pPr>
      <w:rPr>
        <w:rFonts w:cs="Arial"/>
      </w:r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23" w15:restartNumberingAfterBreak="0">
    <w:nsid w:val="3A825FCC"/>
    <w:multiLevelType w:val="multilevel"/>
    <w:tmpl w:val="AA3E79BC"/>
    <w:styleLink w:val="WWNum26"/>
    <w:lvl w:ilvl="0">
      <w:numFmt w:val="bullet"/>
      <w:lvlText w:val=""/>
      <w:lvlJc w:val="left"/>
      <w:pPr>
        <w:ind w:left="1211" w:hanging="360"/>
      </w:pPr>
      <w:rPr>
        <w:rFonts w:ascii="Symbol" w:hAnsi="Symbol"/>
        <w:color w:val="00000A"/>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4" w15:restartNumberingAfterBreak="0">
    <w:nsid w:val="3F1664AF"/>
    <w:multiLevelType w:val="multilevel"/>
    <w:tmpl w:val="C81C8556"/>
    <w:styleLink w:val="WW8Num8"/>
    <w:lvl w:ilvl="0">
      <w:numFmt w:val="bullet"/>
      <w:lvlText w:val=""/>
      <w:lvlJc w:val="left"/>
      <w:pPr>
        <w:ind w:left="720" w:hanging="360"/>
      </w:pPr>
      <w:rPr>
        <w:rFonts w:ascii="Symbol" w:eastAsia="Times New Roman" w:hAnsi="Symbol" w:cs="Symbol"/>
        <w:color w:val="00000A"/>
        <w:sz w:val="22"/>
        <w:szCs w:val="22"/>
        <w:lang w:val="es-CR" w:eastAsia="ar-SA" w:bidi="ar-SA"/>
      </w:rPr>
    </w:lvl>
    <w:lvl w:ilvl="1">
      <w:numFmt w:val="bullet"/>
      <w:lvlText w:val="◦"/>
      <w:lvlJc w:val="left"/>
      <w:pPr>
        <w:ind w:left="1080" w:hanging="360"/>
      </w:pPr>
      <w:rPr>
        <w:rFonts w:ascii="OpenSymbol, 'Arial Unicode MS'" w:hAnsi="OpenSymbol, 'Arial Unicode MS'"/>
      </w:rPr>
    </w:lvl>
    <w:lvl w:ilvl="2">
      <w:numFmt w:val="bullet"/>
      <w:lvlText w:val="▪"/>
      <w:lvlJc w:val="left"/>
      <w:pPr>
        <w:ind w:left="1440" w:hanging="360"/>
      </w:pPr>
      <w:rPr>
        <w:rFonts w:ascii="OpenSymbol, 'Arial Unicode MS'" w:hAnsi="OpenSymbol, 'Arial Unicode MS'"/>
      </w:rPr>
    </w:lvl>
    <w:lvl w:ilvl="3">
      <w:numFmt w:val="bullet"/>
      <w:lvlText w:val=""/>
      <w:lvlJc w:val="left"/>
      <w:pPr>
        <w:ind w:left="1800" w:hanging="360"/>
      </w:pPr>
      <w:rPr>
        <w:rFonts w:ascii="Symbol" w:eastAsia="Times New Roman" w:hAnsi="Symbol" w:cs="Symbol"/>
        <w:color w:val="00000A"/>
        <w:sz w:val="22"/>
        <w:szCs w:val="22"/>
        <w:lang w:val="es-CR" w:eastAsia="ar-SA" w:bidi="ar-SA"/>
      </w:rPr>
    </w:lvl>
    <w:lvl w:ilvl="4">
      <w:numFmt w:val="bullet"/>
      <w:lvlText w:val="◦"/>
      <w:lvlJc w:val="left"/>
      <w:pPr>
        <w:ind w:left="2160" w:hanging="360"/>
      </w:pPr>
      <w:rPr>
        <w:rFonts w:ascii="OpenSymbol, 'Arial Unicode MS'" w:hAnsi="OpenSymbol, 'Arial Unicode MS'"/>
      </w:rPr>
    </w:lvl>
    <w:lvl w:ilvl="5">
      <w:numFmt w:val="bullet"/>
      <w:lvlText w:val="▪"/>
      <w:lvlJc w:val="left"/>
      <w:pPr>
        <w:ind w:left="2520" w:hanging="360"/>
      </w:pPr>
      <w:rPr>
        <w:rFonts w:ascii="OpenSymbol, 'Arial Unicode MS'" w:hAnsi="OpenSymbol, 'Arial Unicode MS'"/>
      </w:rPr>
    </w:lvl>
    <w:lvl w:ilvl="6">
      <w:numFmt w:val="bullet"/>
      <w:lvlText w:val=""/>
      <w:lvlJc w:val="left"/>
      <w:pPr>
        <w:ind w:left="2880" w:hanging="360"/>
      </w:pPr>
      <w:rPr>
        <w:rFonts w:ascii="Symbol" w:eastAsia="Times New Roman" w:hAnsi="Symbol" w:cs="Symbol"/>
        <w:color w:val="00000A"/>
        <w:sz w:val="22"/>
        <w:szCs w:val="22"/>
        <w:lang w:val="es-CR" w:eastAsia="ar-SA" w:bidi="ar-SA"/>
      </w:rPr>
    </w:lvl>
    <w:lvl w:ilvl="7">
      <w:numFmt w:val="bullet"/>
      <w:lvlText w:val="◦"/>
      <w:lvlJc w:val="left"/>
      <w:pPr>
        <w:ind w:left="3240" w:hanging="360"/>
      </w:pPr>
      <w:rPr>
        <w:rFonts w:ascii="OpenSymbol, 'Arial Unicode MS'" w:hAnsi="OpenSymbol, 'Arial Unicode MS'"/>
      </w:rPr>
    </w:lvl>
    <w:lvl w:ilvl="8">
      <w:numFmt w:val="bullet"/>
      <w:lvlText w:val="▪"/>
      <w:lvlJc w:val="left"/>
      <w:pPr>
        <w:ind w:left="3600" w:hanging="360"/>
      </w:pPr>
      <w:rPr>
        <w:rFonts w:ascii="OpenSymbol, 'Arial Unicode MS'" w:hAnsi="OpenSymbol, 'Arial Unicode MS'"/>
      </w:rPr>
    </w:lvl>
  </w:abstractNum>
  <w:abstractNum w:abstractNumId="25" w15:restartNumberingAfterBreak="0">
    <w:nsid w:val="432E013C"/>
    <w:multiLevelType w:val="hybridMultilevel"/>
    <w:tmpl w:val="0CBAA5AE"/>
    <w:lvl w:ilvl="0" w:tplc="79D2C878">
      <w:start w:val="1"/>
      <w:numFmt w:val="decimal"/>
      <w:lvlText w:val="%1."/>
      <w:lvlJc w:val="left"/>
      <w:pPr>
        <w:ind w:left="927" w:hanging="360"/>
      </w:pPr>
      <w:rPr>
        <w:b w:val="0"/>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4727587B"/>
    <w:multiLevelType w:val="multilevel"/>
    <w:tmpl w:val="4670CBE6"/>
    <w:styleLink w:val="WWNum17"/>
    <w:lvl w:ilvl="0">
      <w:numFmt w:val="bullet"/>
      <w:lvlText w:val=""/>
      <w:lvlJc w:val="left"/>
      <w:pPr>
        <w:ind w:left="720" w:hanging="360"/>
      </w:pPr>
      <w:rPr>
        <w:rFonts w:ascii="Wingdings" w:eastAsia="Andale Sans UI" w:hAnsi="Wingdings" w:cs="Symbol"/>
        <w:color w:val="00000A"/>
        <w:spacing w:val="-5"/>
        <w:sz w:val="26"/>
        <w:szCs w:val="26"/>
        <w:lang w:val="es-ES" w:eastAsia="es-ES" w:bidi="es-ES"/>
      </w:rPr>
    </w:lvl>
    <w:lvl w:ilvl="1">
      <w:numFmt w:val="bullet"/>
      <w:lvlText w:val=""/>
      <w:lvlJc w:val="left"/>
      <w:pPr>
        <w:ind w:left="1080" w:hanging="360"/>
      </w:pPr>
      <w:rPr>
        <w:rFonts w:ascii="Symbol" w:hAnsi="Symbol" w:cs="OpenSymbol,"/>
        <w:color w:val="00000A"/>
        <w:sz w:val="26"/>
        <w:szCs w:val="26"/>
        <w:lang w:val="es-ES"/>
      </w:rPr>
    </w:lvl>
    <w:lvl w:ilvl="2">
      <w:numFmt w:val="bullet"/>
      <w:lvlText w:val=""/>
      <w:lvlJc w:val="left"/>
      <w:pPr>
        <w:ind w:left="1440" w:hanging="360"/>
      </w:pPr>
      <w:rPr>
        <w:rFonts w:ascii="Symbol" w:hAnsi="Symbol" w:cs="OpenSymbol,"/>
        <w:color w:val="00000A"/>
        <w:sz w:val="26"/>
        <w:szCs w:val="26"/>
        <w:lang w:val="es-ES"/>
      </w:rPr>
    </w:lvl>
    <w:lvl w:ilvl="3">
      <w:numFmt w:val="bullet"/>
      <w:lvlText w:val=""/>
      <w:lvlJc w:val="left"/>
      <w:pPr>
        <w:ind w:left="1800" w:hanging="360"/>
      </w:pPr>
      <w:rPr>
        <w:rFonts w:ascii="Symbol" w:hAnsi="Symbol" w:cs="OpenSymbol,"/>
        <w:color w:val="00000A"/>
        <w:sz w:val="26"/>
        <w:szCs w:val="26"/>
        <w:lang w:val="es-ES"/>
      </w:rPr>
    </w:lvl>
    <w:lvl w:ilvl="4">
      <w:numFmt w:val="bullet"/>
      <w:lvlText w:val=""/>
      <w:lvlJc w:val="left"/>
      <w:pPr>
        <w:ind w:left="2160" w:hanging="360"/>
      </w:pPr>
      <w:rPr>
        <w:rFonts w:ascii="Symbol" w:hAnsi="Symbol" w:cs="OpenSymbol,"/>
        <w:color w:val="00000A"/>
        <w:sz w:val="26"/>
        <w:szCs w:val="26"/>
        <w:lang w:val="es-ES"/>
      </w:rPr>
    </w:lvl>
    <w:lvl w:ilvl="5">
      <w:numFmt w:val="bullet"/>
      <w:lvlText w:val=""/>
      <w:lvlJc w:val="left"/>
      <w:pPr>
        <w:ind w:left="2520" w:hanging="360"/>
      </w:pPr>
      <w:rPr>
        <w:rFonts w:ascii="Symbol" w:hAnsi="Symbol" w:cs="OpenSymbol,"/>
        <w:color w:val="00000A"/>
        <w:sz w:val="26"/>
        <w:szCs w:val="26"/>
        <w:lang w:val="es-ES"/>
      </w:rPr>
    </w:lvl>
    <w:lvl w:ilvl="6">
      <w:numFmt w:val="bullet"/>
      <w:lvlText w:val=""/>
      <w:lvlJc w:val="left"/>
      <w:pPr>
        <w:ind w:left="2880" w:hanging="360"/>
      </w:pPr>
      <w:rPr>
        <w:rFonts w:ascii="Symbol" w:hAnsi="Symbol" w:cs="OpenSymbol,"/>
        <w:color w:val="00000A"/>
        <w:sz w:val="26"/>
        <w:szCs w:val="26"/>
        <w:lang w:val="es-ES"/>
      </w:rPr>
    </w:lvl>
    <w:lvl w:ilvl="7">
      <w:numFmt w:val="bullet"/>
      <w:lvlText w:val=""/>
      <w:lvlJc w:val="left"/>
      <w:pPr>
        <w:ind w:left="3240" w:hanging="360"/>
      </w:pPr>
      <w:rPr>
        <w:rFonts w:ascii="Symbol" w:hAnsi="Symbol" w:cs="OpenSymbol,"/>
        <w:color w:val="00000A"/>
        <w:sz w:val="26"/>
        <w:szCs w:val="26"/>
        <w:lang w:val="es-ES"/>
      </w:rPr>
    </w:lvl>
    <w:lvl w:ilvl="8">
      <w:numFmt w:val="bullet"/>
      <w:lvlText w:val=""/>
      <w:lvlJc w:val="left"/>
      <w:pPr>
        <w:ind w:left="3600" w:hanging="360"/>
      </w:pPr>
      <w:rPr>
        <w:rFonts w:ascii="Symbol" w:hAnsi="Symbol" w:cs="OpenSymbol,"/>
        <w:color w:val="00000A"/>
        <w:sz w:val="26"/>
        <w:szCs w:val="26"/>
        <w:lang w:val="es-ES"/>
      </w:rPr>
    </w:lvl>
  </w:abstractNum>
  <w:abstractNum w:abstractNumId="27" w15:restartNumberingAfterBreak="0">
    <w:nsid w:val="483F505B"/>
    <w:multiLevelType w:val="multilevel"/>
    <w:tmpl w:val="CF64CCAA"/>
    <w:styleLink w:val="WWNum10"/>
    <w:lvl w:ilvl="0">
      <w:numFmt w:val="bullet"/>
      <w:lvlText w:val=""/>
      <w:lvlJc w:val="left"/>
      <w:pPr>
        <w:ind w:left="720" w:hanging="360"/>
      </w:pPr>
      <w:rPr>
        <w:rFonts w:ascii="Symbol" w:hAnsi="Symbol" w:cs="Symbol"/>
        <w:sz w:val="22"/>
        <w:szCs w:val="22"/>
        <w:lang w:eastAsia="ar-SA" w:bidi="ar-SA"/>
      </w:rPr>
    </w:lvl>
    <w:lvl w:ilvl="1">
      <w:numFmt w:val="bullet"/>
      <w:lvlText w:val=""/>
      <w:lvlJc w:val="left"/>
      <w:pPr>
        <w:ind w:left="1080" w:hanging="360"/>
      </w:pPr>
      <w:rPr>
        <w:rFonts w:ascii="Symbol" w:hAnsi="Symbol" w:cs="Symbol"/>
        <w:sz w:val="22"/>
        <w:szCs w:val="22"/>
        <w:lang w:eastAsia="ar-SA" w:bidi="ar-SA"/>
      </w:rPr>
    </w:lvl>
    <w:lvl w:ilvl="2">
      <w:numFmt w:val="bullet"/>
      <w:lvlText w:val=""/>
      <w:lvlJc w:val="left"/>
      <w:pPr>
        <w:ind w:left="1440" w:hanging="360"/>
      </w:pPr>
      <w:rPr>
        <w:rFonts w:ascii="Symbol" w:hAnsi="Symbol" w:cs="Symbol"/>
        <w:sz w:val="22"/>
        <w:szCs w:val="22"/>
        <w:lang w:eastAsia="ar-SA" w:bidi="ar-SA"/>
      </w:rPr>
    </w:lvl>
    <w:lvl w:ilvl="3">
      <w:numFmt w:val="bullet"/>
      <w:lvlText w:val=""/>
      <w:lvlJc w:val="left"/>
      <w:pPr>
        <w:ind w:left="1800" w:hanging="360"/>
      </w:pPr>
      <w:rPr>
        <w:rFonts w:ascii="Symbol" w:hAnsi="Symbol" w:cs="Symbol"/>
        <w:sz w:val="22"/>
        <w:szCs w:val="22"/>
        <w:lang w:eastAsia="ar-SA" w:bidi="ar-SA"/>
      </w:rPr>
    </w:lvl>
    <w:lvl w:ilvl="4">
      <w:numFmt w:val="bullet"/>
      <w:lvlText w:val=""/>
      <w:lvlJc w:val="left"/>
      <w:pPr>
        <w:ind w:left="2160" w:hanging="360"/>
      </w:pPr>
      <w:rPr>
        <w:rFonts w:ascii="Symbol" w:hAnsi="Symbol" w:cs="Symbol"/>
        <w:sz w:val="22"/>
        <w:szCs w:val="22"/>
        <w:lang w:eastAsia="ar-SA" w:bidi="ar-SA"/>
      </w:rPr>
    </w:lvl>
    <w:lvl w:ilvl="5">
      <w:numFmt w:val="bullet"/>
      <w:lvlText w:val=""/>
      <w:lvlJc w:val="left"/>
      <w:pPr>
        <w:ind w:left="2520" w:hanging="360"/>
      </w:pPr>
      <w:rPr>
        <w:rFonts w:ascii="Symbol" w:hAnsi="Symbol" w:cs="Symbol"/>
        <w:sz w:val="22"/>
        <w:szCs w:val="22"/>
        <w:lang w:eastAsia="ar-SA" w:bidi="ar-SA"/>
      </w:rPr>
    </w:lvl>
    <w:lvl w:ilvl="6">
      <w:numFmt w:val="bullet"/>
      <w:lvlText w:val=""/>
      <w:lvlJc w:val="left"/>
      <w:pPr>
        <w:ind w:left="2880" w:hanging="360"/>
      </w:pPr>
      <w:rPr>
        <w:rFonts w:ascii="Symbol" w:hAnsi="Symbol" w:cs="Symbol"/>
        <w:sz w:val="22"/>
        <w:szCs w:val="22"/>
        <w:lang w:eastAsia="ar-SA" w:bidi="ar-SA"/>
      </w:rPr>
    </w:lvl>
    <w:lvl w:ilvl="7">
      <w:numFmt w:val="bullet"/>
      <w:lvlText w:val=""/>
      <w:lvlJc w:val="left"/>
      <w:pPr>
        <w:ind w:left="3240" w:hanging="360"/>
      </w:pPr>
      <w:rPr>
        <w:rFonts w:ascii="Symbol" w:hAnsi="Symbol" w:cs="Symbol"/>
        <w:sz w:val="22"/>
        <w:szCs w:val="22"/>
        <w:lang w:eastAsia="ar-SA" w:bidi="ar-SA"/>
      </w:rPr>
    </w:lvl>
    <w:lvl w:ilvl="8">
      <w:numFmt w:val="bullet"/>
      <w:lvlText w:val=""/>
      <w:lvlJc w:val="left"/>
      <w:pPr>
        <w:ind w:left="3600" w:hanging="360"/>
      </w:pPr>
      <w:rPr>
        <w:rFonts w:ascii="Symbol" w:hAnsi="Symbol" w:cs="Symbol"/>
        <w:sz w:val="22"/>
        <w:szCs w:val="22"/>
        <w:lang w:eastAsia="ar-SA" w:bidi="ar-SA"/>
      </w:rPr>
    </w:lvl>
  </w:abstractNum>
  <w:abstractNum w:abstractNumId="28" w15:restartNumberingAfterBreak="0">
    <w:nsid w:val="50133A5E"/>
    <w:multiLevelType w:val="multilevel"/>
    <w:tmpl w:val="D7964BD6"/>
    <w:styleLink w:val="WWNum19"/>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52CD51FF"/>
    <w:multiLevelType w:val="multilevel"/>
    <w:tmpl w:val="BED0A88A"/>
    <w:styleLink w:val="WW8Num9"/>
    <w:lvl w:ilvl="0">
      <w:numFmt w:val="bullet"/>
      <w:lvlText w:val=""/>
      <w:lvlJc w:val="left"/>
      <w:pPr>
        <w:ind w:left="720" w:hanging="360"/>
      </w:pPr>
      <w:rPr>
        <w:rFonts w:ascii="Symbol" w:eastAsia="Times New Roman" w:hAnsi="Symbol" w:cs="Wingdings"/>
        <w:color w:val="00000A"/>
        <w:sz w:val="22"/>
        <w:szCs w:val="22"/>
        <w:lang w:val="es-ES" w:eastAsia="ar-SA" w:bidi="ar-SA"/>
      </w:rPr>
    </w:lvl>
    <w:lvl w:ilvl="1">
      <w:numFmt w:val="bullet"/>
      <w:lvlText w:val=""/>
      <w:lvlJc w:val="left"/>
      <w:pPr>
        <w:ind w:left="1080" w:hanging="360"/>
      </w:pPr>
      <w:rPr>
        <w:rFonts w:ascii="Wingdings" w:hAnsi="Wingdings" w:cs="Wingdings"/>
        <w:color w:val="00000A"/>
        <w:sz w:val="24"/>
        <w:szCs w:val="24"/>
        <w:lang w:val="es-ES"/>
      </w:rPr>
    </w:lvl>
    <w:lvl w:ilvl="2">
      <w:numFmt w:val="bullet"/>
      <w:lvlText w:val=""/>
      <w:lvlJc w:val="left"/>
      <w:pPr>
        <w:ind w:left="1440" w:hanging="360"/>
      </w:pPr>
      <w:rPr>
        <w:rFonts w:ascii="Wingdings" w:hAnsi="Wingdings" w:cs="Wingdings"/>
        <w:color w:val="00000A"/>
        <w:sz w:val="24"/>
        <w:szCs w:val="24"/>
        <w:lang w:val="es-ES"/>
      </w:rPr>
    </w:lvl>
    <w:lvl w:ilvl="3">
      <w:numFmt w:val="bullet"/>
      <w:lvlText w:val=""/>
      <w:lvlJc w:val="left"/>
      <w:pPr>
        <w:ind w:left="1800" w:hanging="360"/>
      </w:pPr>
      <w:rPr>
        <w:rFonts w:ascii="Wingdings" w:hAnsi="Wingdings" w:cs="Wingdings"/>
        <w:color w:val="00000A"/>
        <w:sz w:val="24"/>
        <w:szCs w:val="24"/>
        <w:lang w:val="es-ES"/>
      </w:rPr>
    </w:lvl>
    <w:lvl w:ilvl="4">
      <w:numFmt w:val="bullet"/>
      <w:lvlText w:val=""/>
      <w:lvlJc w:val="left"/>
      <w:pPr>
        <w:ind w:left="2160" w:hanging="360"/>
      </w:pPr>
      <w:rPr>
        <w:rFonts w:ascii="Wingdings" w:hAnsi="Wingdings" w:cs="Wingdings"/>
        <w:color w:val="00000A"/>
        <w:sz w:val="24"/>
        <w:szCs w:val="24"/>
        <w:lang w:val="es-ES"/>
      </w:rPr>
    </w:lvl>
    <w:lvl w:ilvl="5">
      <w:numFmt w:val="bullet"/>
      <w:lvlText w:val=""/>
      <w:lvlJc w:val="left"/>
      <w:pPr>
        <w:ind w:left="2520" w:hanging="360"/>
      </w:pPr>
      <w:rPr>
        <w:rFonts w:ascii="Wingdings" w:hAnsi="Wingdings" w:cs="Wingdings"/>
        <w:color w:val="00000A"/>
        <w:sz w:val="24"/>
        <w:szCs w:val="24"/>
        <w:lang w:val="es-ES"/>
      </w:rPr>
    </w:lvl>
    <w:lvl w:ilvl="6">
      <w:numFmt w:val="bullet"/>
      <w:lvlText w:val=""/>
      <w:lvlJc w:val="left"/>
      <w:pPr>
        <w:ind w:left="2880" w:hanging="360"/>
      </w:pPr>
      <w:rPr>
        <w:rFonts w:ascii="Wingdings" w:hAnsi="Wingdings" w:cs="Wingdings"/>
        <w:color w:val="00000A"/>
        <w:sz w:val="24"/>
        <w:szCs w:val="24"/>
        <w:lang w:val="es-ES"/>
      </w:rPr>
    </w:lvl>
    <w:lvl w:ilvl="7">
      <w:numFmt w:val="bullet"/>
      <w:lvlText w:val=""/>
      <w:lvlJc w:val="left"/>
      <w:pPr>
        <w:ind w:left="3240" w:hanging="360"/>
      </w:pPr>
      <w:rPr>
        <w:rFonts w:ascii="Wingdings" w:hAnsi="Wingdings" w:cs="Wingdings"/>
        <w:color w:val="00000A"/>
        <w:sz w:val="24"/>
        <w:szCs w:val="24"/>
        <w:lang w:val="es-ES"/>
      </w:rPr>
    </w:lvl>
    <w:lvl w:ilvl="8">
      <w:numFmt w:val="bullet"/>
      <w:lvlText w:val=""/>
      <w:lvlJc w:val="left"/>
      <w:pPr>
        <w:ind w:left="3600" w:hanging="360"/>
      </w:pPr>
      <w:rPr>
        <w:rFonts w:ascii="Wingdings" w:hAnsi="Wingdings" w:cs="Wingdings"/>
        <w:color w:val="00000A"/>
        <w:sz w:val="24"/>
        <w:szCs w:val="24"/>
        <w:lang w:val="es-ES"/>
      </w:rPr>
    </w:lvl>
  </w:abstractNum>
  <w:abstractNum w:abstractNumId="30" w15:restartNumberingAfterBreak="0">
    <w:nsid w:val="53D01E36"/>
    <w:multiLevelType w:val="multilevel"/>
    <w:tmpl w:val="6FFA53FE"/>
    <w:styleLink w:val="WWNum2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578F6166"/>
    <w:multiLevelType w:val="multilevel"/>
    <w:tmpl w:val="9CFCE8E0"/>
    <w:styleLink w:val="WWNum1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2" w15:restartNumberingAfterBreak="0">
    <w:nsid w:val="58450B3F"/>
    <w:multiLevelType w:val="multilevel"/>
    <w:tmpl w:val="258CD91C"/>
    <w:styleLink w:val="WWNum14"/>
    <w:lvl w:ilvl="0">
      <w:numFmt w:val="bullet"/>
      <w:lvlText w:val=""/>
      <w:lvlJc w:val="left"/>
      <w:pPr>
        <w:ind w:left="720" w:hanging="360"/>
      </w:pPr>
      <w:rPr>
        <w:rFonts w:ascii="Symbol" w:hAnsi="Symbol" w:cs="OpenSymbol"/>
        <w:b w:val="0"/>
        <w:bCs w:val="0"/>
        <w:i w:val="0"/>
        <w:iCs w:val="0"/>
        <w:spacing w:val="-2"/>
        <w:sz w:val="22"/>
        <w:szCs w:val="22"/>
        <w:lang w:val="es-CR"/>
      </w:rPr>
    </w:lvl>
    <w:lvl w:ilvl="1">
      <w:numFmt w:val="bullet"/>
      <w:lvlText w:val=""/>
      <w:lvlJc w:val="left"/>
      <w:pPr>
        <w:ind w:left="1080" w:hanging="360"/>
      </w:pPr>
      <w:rPr>
        <w:rFonts w:ascii="Symbol" w:hAnsi="Symbol" w:cs="OpenSymbol"/>
        <w:b w:val="0"/>
        <w:bCs w:val="0"/>
        <w:i w:val="0"/>
        <w:iCs w:val="0"/>
        <w:spacing w:val="-2"/>
        <w:sz w:val="22"/>
        <w:szCs w:val="22"/>
      </w:rPr>
    </w:lvl>
    <w:lvl w:ilvl="2">
      <w:numFmt w:val="bullet"/>
      <w:lvlText w:val=""/>
      <w:lvlJc w:val="left"/>
      <w:pPr>
        <w:ind w:left="1440" w:hanging="360"/>
      </w:pPr>
      <w:rPr>
        <w:rFonts w:ascii="Symbol" w:hAnsi="Symbol" w:cs="OpenSymbol"/>
        <w:b w:val="0"/>
        <w:bCs w:val="0"/>
        <w:i w:val="0"/>
        <w:iCs w:val="0"/>
        <w:spacing w:val="-2"/>
        <w:sz w:val="22"/>
        <w:szCs w:val="22"/>
      </w:rPr>
    </w:lvl>
    <w:lvl w:ilvl="3">
      <w:numFmt w:val="bullet"/>
      <w:lvlText w:val=""/>
      <w:lvlJc w:val="left"/>
      <w:pPr>
        <w:ind w:left="1800" w:hanging="360"/>
      </w:pPr>
      <w:rPr>
        <w:rFonts w:ascii="Symbol" w:hAnsi="Symbol" w:cs="OpenSymbol"/>
        <w:b w:val="0"/>
        <w:bCs w:val="0"/>
        <w:i w:val="0"/>
        <w:iCs w:val="0"/>
        <w:spacing w:val="-2"/>
        <w:sz w:val="22"/>
        <w:szCs w:val="22"/>
      </w:rPr>
    </w:lvl>
    <w:lvl w:ilvl="4">
      <w:numFmt w:val="bullet"/>
      <w:lvlText w:val=""/>
      <w:lvlJc w:val="left"/>
      <w:pPr>
        <w:ind w:left="2160" w:hanging="360"/>
      </w:pPr>
      <w:rPr>
        <w:rFonts w:ascii="Symbol" w:hAnsi="Symbol" w:cs="OpenSymbol"/>
        <w:b w:val="0"/>
        <w:bCs w:val="0"/>
        <w:i w:val="0"/>
        <w:iCs w:val="0"/>
        <w:spacing w:val="-2"/>
        <w:sz w:val="22"/>
        <w:szCs w:val="22"/>
      </w:rPr>
    </w:lvl>
    <w:lvl w:ilvl="5">
      <w:numFmt w:val="bullet"/>
      <w:lvlText w:val=""/>
      <w:lvlJc w:val="left"/>
      <w:pPr>
        <w:ind w:left="2520" w:hanging="360"/>
      </w:pPr>
      <w:rPr>
        <w:rFonts w:ascii="Symbol" w:hAnsi="Symbol" w:cs="OpenSymbol"/>
        <w:b w:val="0"/>
        <w:bCs w:val="0"/>
        <w:i w:val="0"/>
        <w:iCs w:val="0"/>
        <w:spacing w:val="-2"/>
        <w:sz w:val="22"/>
        <w:szCs w:val="22"/>
      </w:rPr>
    </w:lvl>
    <w:lvl w:ilvl="6">
      <w:numFmt w:val="bullet"/>
      <w:lvlText w:val=""/>
      <w:lvlJc w:val="left"/>
      <w:pPr>
        <w:ind w:left="2880" w:hanging="360"/>
      </w:pPr>
      <w:rPr>
        <w:rFonts w:ascii="Symbol" w:hAnsi="Symbol" w:cs="OpenSymbol"/>
        <w:b w:val="0"/>
        <w:bCs w:val="0"/>
        <w:i w:val="0"/>
        <w:iCs w:val="0"/>
        <w:spacing w:val="-2"/>
        <w:sz w:val="22"/>
        <w:szCs w:val="22"/>
      </w:rPr>
    </w:lvl>
    <w:lvl w:ilvl="7">
      <w:numFmt w:val="bullet"/>
      <w:lvlText w:val=""/>
      <w:lvlJc w:val="left"/>
      <w:pPr>
        <w:ind w:left="3240" w:hanging="360"/>
      </w:pPr>
      <w:rPr>
        <w:rFonts w:ascii="Symbol" w:hAnsi="Symbol" w:cs="OpenSymbol"/>
        <w:b w:val="0"/>
        <w:bCs w:val="0"/>
        <w:i w:val="0"/>
        <w:iCs w:val="0"/>
        <w:spacing w:val="-2"/>
        <w:sz w:val="22"/>
        <w:szCs w:val="22"/>
      </w:rPr>
    </w:lvl>
    <w:lvl w:ilvl="8">
      <w:numFmt w:val="bullet"/>
      <w:lvlText w:val=""/>
      <w:lvlJc w:val="left"/>
      <w:pPr>
        <w:ind w:left="3600" w:hanging="360"/>
      </w:pPr>
      <w:rPr>
        <w:rFonts w:ascii="Symbol" w:hAnsi="Symbol" w:cs="OpenSymbol"/>
        <w:b w:val="0"/>
        <w:bCs w:val="0"/>
        <w:i w:val="0"/>
        <w:iCs w:val="0"/>
        <w:spacing w:val="-2"/>
        <w:sz w:val="22"/>
        <w:szCs w:val="22"/>
      </w:rPr>
    </w:lvl>
  </w:abstractNum>
  <w:abstractNum w:abstractNumId="33" w15:restartNumberingAfterBreak="0">
    <w:nsid w:val="5D4A3B97"/>
    <w:multiLevelType w:val="multilevel"/>
    <w:tmpl w:val="C31EEA50"/>
    <w:styleLink w:val="WW8Num7"/>
    <w:lvl w:ilvl="0">
      <w:numFmt w:val="bullet"/>
      <w:lvlText w:val=""/>
      <w:lvlJc w:val="left"/>
      <w:pPr>
        <w:ind w:left="1068" w:hanging="360"/>
      </w:pPr>
      <w:rPr>
        <w:rFonts w:ascii="Symbol" w:hAnsi="Symbol" w:cs="Symbol"/>
        <w:color w:val="00000A"/>
        <w:sz w:val="22"/>
        <w:szCs w:val="22"/>
        <w:lang w:val="es-CR"/>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4" w15:restartNumberingAfterBreak="0">
    <w:nsid w:val="62617667"/>
    <w:multiLevelType w:val="multilevel"/>
    <w:tmpl w:val="378E9F8E"/>
    <w:styleLink w:val="WWNum9"/>
    <w:lvl w:ilvl="0">
      <w:numFmt w:val="bullet"/>
      <w:lvlText w:val=""/>
      <w:lvlJc w:val="left"/>
      <w:pPr>
        <w:ind w:left="720" w:hanging="360"/>
      </w:pPr>
      <w:rPr>
        <w:rFonts w:ascii="Symbol" w:hAnsi="Symbol" w:cs="Wingdings"/>
        <w:sz w:val="22"/>
        <w:szCs w:val="22"/>
        <w:lang w:val="es-ES" w:eastAsia="ar-SA" w:bidi="ar-SA"/>
      </w:rPr>
    </w:lvl>
    <w:lvl w:ilvl="1">
      <w:numFmt w:val="bullet"/>
      <w:lvlText w:val=""/>
      <w:lvlJc w:val="left"/>
      <w:pPr>
        <w:ind w:left="1080" w:hanging="360"/>
      </w:pPr>
      <w:rPr>
        <w:rFonts w:ascii="Wingdings" w:hAnsi="Wingdings" w:cs="Wingdings"/>
        <w:sz w:val="24"/>
        <w:szCs w:val="24"/>
        <w:lang w:val="es-ES"/>
      </w:rPr>
    </w:lvl>
    <w:lvl w:ilvl="2">
      <w:numFmt w:val="bullet"/>
      <w:lvlText w:val=""/>
      <w:lvlJc w:val="left"/>
      <w:pPr>
        <w:ind w:left="1440" w:hanging="360"/>
      </w:pPr>
      <w:rPr>
        <w:rFonts w:ascii="Wingdings" w:hAnsi="Wingdings" w:cs="Wingdings"/>
        <w:sz w:val="24"/>
        <w:szCs w:val="24"/>
        <w:lang w:val="es-ES"/>
      </w:rPr>
    </w:lvl>
    <w:lvl w:ilvl="3">
      <w:numFmt w:val="bullet"/>
      <w:lvlText w:val=""/>
      <w:lvlJc w:val="left"/>
      <w:pPr>
        <w:ind w:left="1800" w:hanging="360"/>
      </w:pPr>
      <w:rPr>
        <w:rFonts w:ascii="Wingdings" w:hAnsi="Wingdings" w:cs="Wingdings"/>
        <w:sz w:val="24"/>
        <w:szCs w:val="24"/>
        <w:lang w:val="es-ES"/>
      </w:rPr>
    </w:lvl>
    <w:lvl w:ilvl="4">
      <w:numFmt w:val="bullet"/>
      <w:lvlText w:val=""/>
      <w:lvlJc w:val="left"/>
      <w:pPr>
        <w:ind w:left="2160" w:hanging="360"/>
      </w:pPr>
      <w:rPr>
        <w:rFonts w:ascii="Wingdings" w:hAnsi="Wingdings" w:cs="Wingdings"/>
        <w:sz w:val="24"/>
        <w:szCs w:val="24"/>
        <w:lang w:val="es-ES"/>
      </w:rPr>
    </w:lvl>
    <w:lvl w:ilvl="5">
      <w:numFmt w:val="bullet"/>
      <w:lvlText w:val=""/>
      <w:lvlJc w:val="left"/>
      <w:pPr>
        <w:ind w:left="2520" w:hanging="360"/>
      </w:pPr>
      <w:rPr>
        <w:rFonts w:ascii="Wingdings" w:hAnsi="Wingdings" w:cs="Wingdings"/>
        <w:sz w:val="24"/>
        <w:szCs w:val="24"/>
        <w:lang w:val="es-ES"/>
      </w:rPr>
    </w:lvl>
    <w:lvl w:ilvl="6">
      <w:numFmt w:val="bullet"/>
      <w:lvlText w:val=""/>
      <w:lvlJc w:val="left"/>
      <w:pPr>
        <w:ind w:left="2880" w:hanging="360"/>
      </w:pPr>
      <w:rPr>
        <w:rFonts w:ascii="Wingdings" w:hAnsi="Wingdings" w:cs="Wingdings"/>
        <w:sz w:val="24"/>
        <w:szCs w:val="24"/>
        <w:lang w:val="es-ES"/>
      </w:rPr>
    </w:lvl>
    <w:lvl w:ilvl="7">
      <w:numFmt w:val="bullet"/>
      <w:lvlText w:val=""/>
      <w:lvlJc w:val="left"/>
      <w:pPr>
        <w:ind w:left="3240" w:hanging="360"/>
      </w:pPr>
      <w:rPr>
        <w:rFonts w:ascii="Wingdings" w:hAnsi="Wingdings" w:cs="Wingdings"/>
        <w:sz w:val="24"/>
        <w:szCs w:val="24"/>
        <w:lang w:val="es-ES"/>
      </w:rPr>
    </w:lvl>
    <w:lvl w:ilvl="8">
      <w:numFmt w:val="bullet"/>
      <w:lvlText w:val=""/>
      <w:lvlJc w:val="left"/>
      <w:pPr>
        <w:ind w:left="3600" w:hanging="360"/>
      </w:pPr>
      <w:rPr>
        <w:rFonts w:ascii="Wingdings" w:hAnsi="Wingdings" w:cs="Wingdings"/>
        <w:sz w:val="24"/>
        <w:szCs w:val="24"/>
        <w:lang w:val="es-ES"/>
      </w:rPr>
    </w:lvl>
  </w:abstractNum>
  <w:abstractNum w:abstractNumId="35" w15:restartNumberingAfterBreak="0">
    <w:nsid w:val="62791A3F"/>
    <w:multiLevelType w:val="multilevel"/>
    <w:tmpl w:val="40FEA330"/>
    <w:styleLink w:val="WWNum2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62BE5923"/>
    <w:multiLevelType w:val="multilevel"/>
    <w:tmpl w:val="CC8E1F64"/>
    <w:styleLink w:val="WWNum15"/>
    <w:lvl w:ilvl="0">
      <w:numFmt w:val="bullet"/>
      <w:lvlText w:val=""/>
      <w:lvlJc w:val="left"/>
      <w:pPr>
        <w:ind w:left="720" w:hanging="360"/>
      </w:pPr>
      <w:rPr>
        <w:rFonts w:ascii="Symbol" w:hAnsi="Symbol" w:cs="Wingdings"/>
        <w:b w:val="0"/>
        <w:bCs w:val="0"/>
        <w:i w:val="0"/>
        <w:iCs w:val="0"/>
        <w:spacing w:val="-2"/>
        <w:kern w:val="3"/>
        <w:sz w:val="22"/>
        <w:szCs w:val="22"/>
        <w:lang w:val="es-CR" w:eastAsia="ar-SA" w:bidi="ar-SA"/>
      </w:rPr>
    </w:lvl>
    <w:lvl w:ilvl="1">
      <w:numFmt w:val="bullet"/>
      <w:lvlText w:val=""/>
      <w:lvlJc w:val="left"/>
      <w:pPr>
        <w:ind w:left="1080" w:hanging="360"/>
      </w:pPr>
      <w:rPr>
        <w:rFonts w:ascii="Symbol" w:hAnsi="Symbol" w:cs="Wingdings"/>
        <w:b w:val="0"/>
        <w:bCs w:val="0"/>
        <w:i w:val="0"/>
        <w:iCs w:val="0"/>
        <w:spacing w:val="-2"/>
        <w:kern w:val="3"/>
        <w:sz w:val="22"/>
        <w:szCs w:val="22"/>
        <w:lang w:val="es-CR" w:eastAsia="ar-SA" w:bidi="ar-SA"/>
      </w:rPr>
    </w:lvl>
    <w:lvl w:ilvl="2">
      <w:numFmt w:val="bullet"/>
      <w:lvlText w:val=""/>
      <w:lvlJc w:val="left"/>
      <w:pPr>
        <w:ind w:left="1440" w:hanging="360"/>
      </w:pPr>
      <w:rPr>
        <w:rFonts w:ascii="Symbol" w:hAnsi="Symbol" w:cs="Wingdings"/>
        <w:b w:val="0"/>
        <w:bCs w:val="0"/>
        <w:i w:val="0"/>
        <w:iCs w:val="0"/>
        <w:spacing w:val="-2"/>
        <w:kern w:val="3"/>
        <w:sz w:val="22"/>
        <w:szCs w:val="22"/>
        <w:lang w:val="es-CR" w:eastAsia="ar-SA" w:bidi="ar-SA"/>
      </w:rPr>
    </w:lvl>
    <w:lvl w:ilvl="3">
      <w:numFmt w:val="bullet"/>
      <w:lvlText w:val=""/>
      <w:lvlJc w:val="left"/>
      <w:pPr>
        <w:ind w:left="1800" w:hanging="360"/>
      </w:pPr>
      <w:rPr>
        <w:rFonts w:ascii="Symbol" w:hAnsi="Symbol" w:cs="Wingdings"/>
        <w:b w:val="0"/>
        <w:bCs w:val="0"/>
        <w:i w:val="0"/>
        <w:iCs w:val="0"/>
        <w:spacing w:val="-2"/>
        <w:kern w:val="3"/>
        <w:sz w:val="22"/>
        <w:szCs w:val="22"/>
        <w:lang w:val="es-CR" w:eastAsia="ar-SA" w:bidi="ar-SA"/>
      </w:rPr>
    </w:lvl>
    <w:lvl w:ilvl="4">
      <w:numFmt w:val="bullet"/>
      <w:lvlText w:val=""/>
      <w:lvlJc w:val="left"/>
      <w:pPr>
        <w:ind w:left="2160" w:hanging="360"/>
      </w:pPr>
      <w:rPr>
        <w:rFonts w:ascii="Symbol" w:hAnsi="Symbol" w:cs="Wingdings"/>
        <w:b w:val="0"/>
        <w:bCs w:val="0"/>
        <w:i w:val="0"/>
        <w:iCs w:val="0"/>
        <w:spacing w:val="-2"/>
        <w:kern w:val="3"/>
        <w:sz w:val="22"/>
        <w:szCs w:val="22"/>
        <w:lang w:val="es-CR" w:eastAsia="ar-SA" w:bidi="ar-SA"/>
      </w:rPr>
    </w:lvl>
    <w:lvl w:ilvl="5">
      <w:numFmt w:val="bullet"/>
      <w:lvlText w:val=""/>
      <w:lvlJc w:val="left"/>
      <w:pPr>
        <w:ind w:left="2520" w:hanging="360"/>
      </w:pPr>
      <w:rPr>
        <w:rFonts w:ascii="Symbol" w:hAnsi="Symbol" w:cs="Wingdings"/>
        <w:b w:val="0"/>
        <w:bCs w:val="0"/>
        <w:i w:val="0"/>
        <w:iCs w:val="0"/>
        <w:spacing w:val="-2"/>
        <w:kern w:val="3"/>
        <w:sz w:val="22"/>
        <w:szCs w:val="22"/>
        <w:lang w:val="es-CR" w:eastAsia="ar-SA" w:bidi="ar-SA"/>
      </w:rPr>
    </w:lvl>
    <w:lvl w:ilvl="6">
      <w:numFmt w:val="bullet"/>
      <w:lvlText w:val=""/>
      <w:lvlJc w:val="left"/>
      <w:pPr>
        <w:ind w:left="2880" w:hanging="360"/>
      </w:pPr>
      <w:rPr>
        <w:rFonts w:ascii="Symbol" w:hAnsi="Symbol" w:cs="Wingdings"/>
        <w:b w:val="0"/>
        <w:bCs w:val="0"/>
        <w:i w:val="0"/>
        <w:iCs w:val="0"/>
        <w:spacing w:val="-2"/>
        <w:kern w:val="3"/>
        <w:sz w:val="22"/>
        <w:szCs w:val="22"/>
        <w:lang w:val="es-CR" w:eastAsia="ar-SA" w:bidi="ar-SA"/>
      </w:rPr>
    </w:lvl>
    <w:lvl w:ilvl="7">
      <w:numFmt w:val="bullet"/>
      <w:lvlText w:val=""/>
      <w:lvlJc w:val="left"/>
      <w:pPr>
        <w:ind w:left="3240" w:hanging="360"/>
      </w:pPr>
      <w:rPr>
        <w:rFonts w:ascii="Symbol" w:hAnsi="Symbol" w:cs="Wingdings"/>
        <w:b w:val="0"/>
        <w:bCs w:val="0"/>
        <w:i w:val="0"/>
        <w:iCs w:val="0"/>
        <w:spacing w:val="-2"/>
        <w:kern w:val="3"/>
        <w:sz w:val="22"/>
        <w:szCs w:val="22"/>
        <w:lang w:val="es-CR" w:eastAsia="ar-SA" w:bidi="ar-SA"/>
      </w:rPr>
    </w:lvl>
    <w:lvl w:ilvl="8">
      <w:numFmt w:val="bullet"/>
      <w:lvlText w:val=""/>
      <w:lvlJc w:val="left"/>
      <w:pPr>
        <w:ind w:left="3600" w:hanging="360"/>
      </w:pPr>
      <w:rPr>
        <w:rFonts w:ascii="Symbol" w:hAnsi="Symbol" w:cs="Wingdings"/>
        <w:b w:val="0"/>
        <w:bCs w:val="0"/>
        <w:i w:val="0"/>
        <w:iCs w:val="0"/>
        <w:spacing w:val="-2"/>
        <w:kern w:val="3"/>
        <w:sz w:val="22"/>
        <w:szCs w:val="22"/>
        <w:lang w:val="es-CR" w:eastAsia="ar-SA" w:bidi="ar-SA"/>
      </w:rPr>
    </w:lvl>
  </w:abstractNum>
  <w:abstractNum w:abstractNumId="37" w15:restartNumberingAfterBreak="0">
    <w:nsid w:val="65500CB7"/>
    <w:multiLevelType w:val="multilevel"/>
    <w:tmpl w:val="11484982"/>
    <w:styleLink w:val="WWNum16"/>
    <w:lvl w:ilvl="0">
      <w:numFmt w:val="bullet"/>
      <w:lvlText w:val=""/>
      <w:lvlJc w:val="left"/>
      <w:pPr>
        <w:ind w:left="720" w:hanging="360"/>
      </w:pPr>
      <w:rPr>
        <w:rFonts w:ascii="Wingdings" w:eastAsia="Andale Sans UI" w:hAnsi="Wingdings" w:cs="Symbol"/>
        <w:color w:val="00000A"/>
        <w:spacing w:val="-5"/>
        <w:sz w:val="26"/>
        <w:szCs w:val="26"/>
        <w:lang w:val="es-ES" w:eastAsia="es-ES" w:bidi="es-ES"/>
      </w:rPr>
    </w:lvl>
    <w:lvl w:ilvl="1">
      <w:numFmt w:val="bullet"/>
      <w:lvlText w:val=""/>
      <w:lvlJc w:val="left"/>
      <w:pPr>
        <w:ind w:left="1080" w:hanging="360"/>
      </w:pPr>
      <w:rPr>
        <w:rFonts w:ascii="Symbol" w:hAnsi="Symbol" w:cs="OpenSymbol,"/>
        <w:color w:val="00000A"/>
        <w:sz w:val="26"/>
        <w:szCs w:val="26"/>
        <w:lang w:val="es-ES"/>
      </w:rPr>
    </w:lvl>
    <w:lvl w:ilvl="2">
      <w:numFmt w:val="bullet"/>
      <w:lvlText w:val=""/>
      <w:lvlJc w:val="left"/>
      <w:pPr>
        <w:ind w:left="1440" w:hanging="360"/>
      </w:pPr>
      <w:rPr>
        <w:rFonts w:ascii="Symbol" w:hAnsi="Symbol" w:cs="OpenSymbol,"/>
        <w:color w:val="00000A"/>
        <w:sz w:val="26"/>
        <w:szCs w:val="26"/>
        <w:lang w:val="es-ES"/>
      </w:rPr>
    </w:lvl>
    <w:lvl w:ilvl="3">
      <w:numFmt w:val="bullet"/>
      <w:lvlText w:val=""/>
      <w:lvlJc w:val="left"/>
      <w:pPr>
        <w:ind w:left="1800" w:hanging="360"/>
      </w:pPr>
      <w:rPr>
        <w:rFonts w:ascii="Symbol" w:hAnsi="Symbol" w:cs="OpenSymbol,"/>
        <w:color w:val="00000A"/>
        <w:sz w:val="26"/>
        <w:szCs w:val="26"/>
        <w:lang w:val="es-ES"/>
      </w:rPr>
    </w:lvl>
    <w:lvl w:ilvl="4">
      <w:numFmt w:val="bullet"/>
      <w:lvlText w:val=""/>
      <w:lvlJc w:val="left"/>
      <w:pPr>
        <w:ind w:left="2160" w:hanging="360"/>
      </w:pPr>
      <w:rPr>
        <w:rFonts w:ascii="Symbol" w:hAnsi="Symbol" w:cs="OpenSymbol,"/>
        <w:color w:val="00000A"/>
        <w:sz w:val="26"/>
        <w:szCs w:val="26"/>
        <w:lang w:val="es-ES"/>
      </w:rPr>
    </w:lvl>
    <w:lvl w:ilvl="5">
      <w:numFmt w:val="bullet"/>
      <w:lvlText w:val=""/>
      <w:lvlJc w:val="left"/>
      <w:pPr>
        <w:ind w:left="2520" w:hanging="360"/>
      </w:pPr>
      <w:rPr>
        <w:rFonts w:ascii="Symbol" w:hAnsi="Symbol" w:cs="OpenSymbol,"/>
        <w:color w:val="00000A"/>
        <w:sz w:val="26"/>
        <w:szCs w:val="26"/>
        <w:lang w:val="es-ES"/>
      </w:rPr>
    </w:lvl>
    <w:lvl w:ilvl="6">
      <w:numFmt w:val="bullet"/>
      <w:lvlText w:val=""/>
      <w:lvlJc w:val="left"/>
      <w:pPr>
        <w:ind w:left="2880" w:hanging="360"/>
      </w:pPr>
      <w:rPr>
        <w:rFonts w:ascii="Symbol" w:hAnsi="Symbol" w:cs="OpenSymbol,"/>
        <w:color w:val="00000A"/>
        <w:sz w:val="26"/>
        <w:szCs w:val="26"/>
        <w:lang w:val="es-ES"/>
      </w:rPr>
    </w:lvl>
    <w:lvl w:ilvl="7">
      <w:numFmt w:val="bullet"/>
      <w:lvlText w:val=""/>
      <w:lvlJc w:val="left"/>
      <w:pPr>
        <w:ind w:left="3240" w:hanging="360"/>
      </w:pPr>
      <w:rPr>
        <w:rFonts w:ascii="Symbol" w:hAnsi="Symbol" w:cs="OpenSymbol,"/>
        <w:color w:val="00000A"/>
        <w:sz w:val="26"/>
        <w:szCs w:val="26"/>
        <w:lang w:val="es-ES"/>
      </w:rPr>
    </w:lvl>
    <w:lvl w:ilvl="8">
      <w:numFmt w:val="bullet"/>
      <w:lvlText w:val=""/>
      <w:lvlJc w:val="left"/>
      <w:pPr>
        <w:ind w:left="3600" w:hanging="360"/>
      </w:pPr>
      <w:rPr>
        <w:rFonts w:ascii="Symbol" w:hAnsi="Symbol" w:cs="OpenSymbol,"/>
        <w:color w:val="00000A"/>
        <w:sz w:val="26"/>
        <w:szCs w:val="26"/>
        <w:lang w:val="es-ES"/>
      </w:rPr>
    </w:lvl>
  </w:abstractNum>
  <w:abstractNum w:abstractNumId="38" w15:restartNumberingAfterBreak="0">
    <w:nsid w:val="692B7131"/>
    <w:multiLevelType w:val="multilevel"/>
    <w:tmpl w:val="538463C6"/>
    <w:styleLink w:val="WWNum2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6E5E53C1"/>
    <w:multiLevelType w:val="hybridMultilevel"/>
    <w:tmpl w:val="8D3223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71D6621E"/>
    <w:multiLevelType w:val="multilevel"/>
    <w:tmpl w:val="AFBC58EE"/>
    <w:styleLink w:val="RTFNum3"/>
    <w:lvl w:ilvl="0">
      <w:start w:val="1"/>
      <w:numFmt w:val="upperRoman"/>
      <w:lvlText w:val="%1."/>
      <w:lvlJc w:val="left"/>
      <w:pPr>
        <w:ind w:left="720" w:hanging="720"/>
      </w:pPr>
    </w:lvl>
    <w:lvl w:ilvl="1">
      <w:start w:val="1"/>
      <w:numFmt w:val="upperLetter"/>
      <w:lvlText w:val="%2."/>
      <w:lvlJc w:val="left"/>
      <w:pPr>
        <w:ind w:left="1440" w:hanging="720"/>
      </w:pPr>
    </w:lvl>
    <w:lvl w:ilvl="2">
      <w:start w:val="1"/>
      <w:numFmt w:val="decimal"/>
      <w:lvlText w:val="%3."/>
      <w:lvlJc w:val="left"/>
      <w:pPr>
        <w:ind w:left="2160" w:hanging="720"/>
      </w:pPr>
    </w:lvl>
    <w:lvl w:ilvl="3">
      <w:start w:val="1"/>
      <w:numFmt w:val="lowerLetter"/>
      <w:lvlText w:val="%4)"/>
      <w:lvlJc w:val="left"/>
      <w:pPr>
        <w:ind w:left="2880" w:hanging="720"/>
      </w:pPr>
    </w:lvl>
    <w:lvl w:ilvl="4">
      <w:start w:val="1"/>
      <w:numFmt w:val="decimal"/>
      <w:lvlText w:val="(%5)"/>
      <w:lvlJc w:val="left"/>
      <w:pPr>
        <w:ind w:left="3600" w:hanging="720"/>
      </w:pPr>
    </w:lvl>
    <w:lvl w:ilvl="5">
      <w:start w:val="1"/>
      <w:numFmt w:val="lowerLetter"/>
      <w:lvlText w:val="(%6)"/>
      <w:lvlJc w:val="left"/>
      <w:pPr>
        <w:ind w:left="4320" w:hanging="720"/>
      </w:pPr>
    </w:lvl>
    <w:lvl w:ilvl="6">
      <w:start w:val="1"/>
      <w:numFmt w:val="lowerRoman"/>
      <w:lvlText w:val="(%7)"/>
      <w:lvlJc w:val="left"/>
      <w:pPr>
        <w:ind w:left="5040" w:hanging="720"/>
      </w:pPr>
    </w:lvl>
    <w:lvl w:ilvl="7">
      <w:start w:val="1"/>
      <w:numFmt w:val="lowerLetter"/>
      <w:lvlText w:val="(%8)"/>
      <w:lvlJc w:val="left"/>
      <w:pPr>
        <w:ind w:left="5760" w:hanging="720"/>
      </w:pPr>
    </w:lvl>
    <w:lvl w:ilvl="8">
      <w:start w:val="1"/>
      <w:numFmt w:val="lowerRoman"/>
      <w:lvlText w:val="(%9)"/>
      <w:lvlJc w:val="left"/>
      <w:pPr>
        <w:ind w:left="6480" w:hanging="720"/>
      </w:pPr>
    </w:lvl>
  </w:abstractNum>
  <w:abstractNum w:abstractNumId="41" w15:restartNumberingAfterBreak="0">
    <w:nsid w:val="731000F2"/>
    <w:multiLevelType w:val="multilevel"/>
    <w:tmpl w:val="E3828BEA"/>
    <w:styleLink w:val="WWNum12"/>
    <w:lvl w:ilvl="0">
      <w:numFmt w:val="bullet"/>
      <w:lvlText w:val=""/>
      <w:lvlJc w:val="left"/>
      <w:pPr>
        <w:ind w:left="720" w:hanging="360"/>
      </w:pPr>
      <w:rPr>
        <w:rFonts w:ascii="Symbol" w:hAnsi="Symbol" w:cs="Symbol"/>
        <w:sz w:val="22"/>
        <w:szCs w:val="22"/>
        <w:lang w:val="es-ES" w:eastAsia="ar-SA" w:bidi="ar-SA"/>
      </w:rPr>
    </w:lvl>
    <w:lvl w:ilvl="1">
      <w:numFmt w:val="bullet"/>
      <w:lvlText w:val=""/>
      <w:lvlJc w:val="left"/>
      <w:pPr>
        <w:ind w:left="1080" w:hanging="360"/>
      </w:pPr>
      <w:rPr>
        <w:rFonts w:ascii="Symbol" w:hAnsi="Symbol" w:cs="Symbol"/>
        <w:sz w:val="22"/>
        <w:szCs w:val="22"/>
        <w:lang w:val="es-ES" w:eastAsia="ar-SA" w:bidi="ar-SA"/>
      </w:rPr>
    </w:lvl>
    <w:lvl w:ilvl="2">
      <w:numFmt w:val="bullet"/>
      <w:lvlText w:val=""/>
      <w:lvlJc w:val="left"/>
      <w:pPr>
        <w:ind w:left="1440" w:hanging="360"/>
      </w:pPr>
      <w:rPr>
        <w:rFonts w:ascii="Symbol" w:hAnsi="Symbol" w:cs="Symbol"/>
        <w:sz w:val="22"/>
        <w:szCs w:val="22"/>
        <w:lang w:val="es-ES" w:eastAsia="ar-SA" w:bidi="ar-SA"/>
      </w:rPr>
    </w:lvl>
    <w:lvl w:ilvl="3">
      <w:numFmt w:val="bullet"/>
      <w:lvlText w:val=""/>
      <w:lvlJc w:val="left"/>
      <w:pPr>
        <w:ind w:left="1800" w:hanging="360"/>
      </w:pPr>
      <w:rPr>
        <w:rFonts w:ascii="Symbol" w:hAnsi="Symbol" w:cs="Symbol"/>
        <w:sz w:val="22"/>
        <w:szCs w:val="22"/>
        <w:lang w:val="es-ES" w:eastAsia="ar-SA" w:bidi="ar-SA"/>
      </w:rPr>
    </w:lvl>
    <w:lvl w:ilvl="4">
      <w:numFmt w:val="bullet"/>
      <w:lvlText w:val=""/>
      <w:lvlJc w:val="left"/>
      <w:pPr>
        <w:ind w:left="2160" w:hanging="360"/>
      </w:pPr>
      <w:rPr>
        <w:rFonts w:ascii="Symbol" w:hAnsi="Symbol" w:cs="Symbol"/>
        <w:sz w:val="22"/>
        <w:szCs w:val="22"/>
        <w:lang w:val="es-ES" w:eastAsia="ar-SA" w:bidi="ar-SA"/>
      </w:rPr>
    </w:lvl>
    <w:lvl w:ilvl="5">
      <w:numFmt w:val="bullet"/>
      <w:lvlText w:val=""/>
      <w:lvlJc w:val="left"/>
      <w:pPr>
        <w:ind w:left="2520" w:hanging="360"/>
      </w:pPr>
      <w:rPr>
        <w:rFonts w:ascii="Symbol" w:hAnsi="Symbol" w:cs="Symbol"/>
        <w:sz w:val="22"/>
        <w:szCs w:val="22"/>
        <w:lang w:val="es-ES" w:eastAsia="ar-SA" w:bidi="ar-SA"/>
      </w:rPr>
    </w:lvl>
    <w:lvl w:ilvl="6">
      <w:numFmt w:val="bullet"/>
      <w:lvlText w:val=""/>
      <w:lvlJc w:val="left"/>
      <w:pPr>
        <w:ind w:left="2880" w:hanging="360"/>
      </w:pPr>
      <w:rPr>
        <w:rFonts w:ascii="Symbol" w:hAnsi="Symbol" w:cs="Symbol"/>
        <w:sz w:val="22"/>
        <w:szCs w:val="22"/>
        <w:lang w:val="es-ES" w:eastAsia="ar-SA" w:bidi="ar-SA"/>
      </w:rPr>
    </w:lvl>
    <w:lvl w:ilvl="7">
      <w:numFmt w:val="bullet"/>
      <w:lvlText w:val=""/>
      <w:lvlJc w:val="left"/>
      <w:pPr>
        <w:ind w:left="3240" w:hanging="360"/>
      </w:pPr>
      <w:rPr>
        <w:rFonts w:ascii="Symbol" w:hAnsi="Symbol" w:cs="Symbol"/>
        <w:sz w:val="22"/>
        <w:szCs w:val="22"/>
        <w:lang w:val="es-ES" w:eastAsia="ar-SA" w:bidi="ar-SA"/>
      </w:rPr>
    </w:lvl>
    <w:lvl w:ilvl="8">
      <w:numFmt w:val="bullet"/>
      <w:lvlText w:val=""/>
      <w:lvlJc w:val="left"/>
      <w:pPr>
        <w:ind w:left="3600" w:hanging="360"/>
      </w:pPr>
      <w:rPr>
        <w:rFonts w:ascii="Symbol" w:hAnsi="Symbol" w:cs="Symbol"/>
        <w:sz w:val="22"/>
        <w:szCs w:val="22"/>
        <w:lang w:val="es-ES" w:eastAsia="ar-SA" w:bidi="ar-SA"/>
      </w:rPr>
    </w:lvl>
  </w:abstractNum>
  <w:abstractNum w:abstractNumId="42" w15:restartNumberingAfterBreak="0">
    <w:nsid w:val="78D900A0"/>
    <w:multiLevelType w:val="multilevel"/>
    <w:tmpl w:val="5812050C"/>
    <w:styleLink w:val="WWNum2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3" w15:restartNumberingAfterBreak="0">
    <w:nsid w:val="7C6F1164"/>
    <w:multiLevelType w:val="multilevel"/>
    <w:tmpl w:val="ADAE9BBC"/>
    <w:styleLink w:val="WWNum4"/>
    <w:lvl w:ilvl="0">
      <w:numFmt w:val="bullet"/>
      <w:lvlText w:val=""/>
      <w:lvlJc w:val="left"/>
      <w:pPr>
        <w:ind w:left="720" w:hanging="360"/>
      </w:pPr>
      <w:rPr>
        <w:rFonts w:ascii="Symbol" w:hAnsi="Symbol" w:cs="Wingdings"/>
        <w:sz w:val="22"/>
        <w:szCs w:val="22"/>
        <w:lang w:val="es-ES"/>
      </w:rPr>
    </w:lvl>
    <w:lvl w:ilvl="1">
      <w:numFmt w:val="bullet"/>
      <w:lvlText w:val=""/>
      <w:lvlJc w:val="left"/>
      <w:pPr>
        <w:ind w:left="1080" w:hanging="360"/>
      </w:pPr>
      <w:rPr>
        <w:rFonts w:ascii="Symbol" w:hAnsi="Symbol" w:cs="Wingdings"/>
        <w:sz w:val="24"/>
        <w:szCs w:val="24"/>
        <w:lang w:val="es-ES"/>
      </w:rPr>
    </w:lvl>
    <w:lvl w:ilvl="2">
      <w:numFmt w:val="bullet"/>
      <w:lvlText w:val=""/>
      <w:lvlJc w:val="left"/>
      <w:pPr>
        <w:ind w:left="1440" w:hanging="360"/>
      </w:pPr>
      <w:rPr>
        <w:rFonts w:ascii="Symbol" w:hAnsi="Symbol" w:cs="Wingdings"/>
        <w:sz w:val="24"/>
        <w:szCs w:val="24"/>
        <w:lang w:val="es-ES"/>
      </w:rPr>
    </w:lvl>
    <w:lvl w:ilvl="3">
      <w:numFmt w:val="bullet"/>
      <w:lvlText w:val=""/>
      <w:lvlJc w:val="left"/>
      <w:pPr>
        <w:ind w:left="1800" w:hanging="360"/>
      </w:pPr>
      <w:rPr>
        <w:rFonts w:ascii="Symbol" w:hAnsi="Symbol" w:cs="Wingdings"/>
        <w:sz w:val="24"/>
        <w:szCs w:val="24"/>
        <w:lang w:val="es-ES"/>
      </w:rPr>
    </w:lvl>
    <w:lvl w:ilvl="4">
      <w:numFmt w:val="bullet"/>
      <w:lvlText w:val=""/>
      <w:lvlJc w:val="left"/>
      <w:pPr>
        <w:ind w:left="2160" w:hanging="360"/>
      </w:pPr>
      <w:rPr>
        <w:rFonts w:ascii="Symbol" w:hAnsi="Symbol" w:cs="Wingdings"/>
        <w:sz w:val="24"/>
        <w:szCs w:val="24"/>
        <w:lang w:val="es-ES"/>
      </w:rPr>
    </w:lvl>
    <w:lvl w:ilvl="5">
      <w:numFmt w:val="bullet"/>
      <w:lvlText w:val=""/>
      <w:lvlJc w:val="left"/>
      <w:pPr>
        <w:ind w:left="2520" w:hanging="360"/>
      </w:pPr>
      <w:rPr>
        <w:rFonts w:ascii="Symbol" w:hAnsi="Symbol" w:cs="Wingdings"/>
        <w:sz w:val="24"/>
        <w:szCs w:val="24"/>
        <w:lang w:val="es-ES"/>
      </w:rPr>
    </w:lvl>
    <w:lvl w:ilvl="6">
      <w:numFmt w:val="bullet"/>
      <w:lvlText w:val=""/>
      <w:lvlJc w:val="left"/>
      <w:pPr>
        <w:ind w:left="2880" w:hanging="360"/>
      </w:pPr>
      <w:rPr>
        <w:rFonts w:ascii="Symbol" w:hAnsi="Symbol" w:cs="Wingdings"/>
        <w:sz w:val="24"/>
        <w:szCs w:val="24"/>
        <w:lang w:val="es-ES"/>
      </w:rPr>
    </w:lvl>
    <w:lvl w:ilvl="7">
      <w:numFmt w:val="bullet"/>
      <w:lvlText w:val=""/>
      <w:lvlJc w:val="left"/>
      <w:pPr>
        <w:ind w:left="3240" w:hanging="360"/>
      </w:pPr>
      <w:rPr>
        <w:rFonts w:ascii="Symbol" w:hAnsi="Symbol" w:cs="Wingdings"/>
        <w:sz w:val="24"/>
        <w:szCs w:val="24"/>
        <w:lang w:val="es-ES"/>
      </w:rPr>
    </w:lvl>
    <w:lvl w:ilvl="8">
      <w:numFmt w:val="bullet"/>
      <w:lvlText w:val=""/>
      <w:lvlJc w:val="left"/>
      <w:pPr>
        <w:ind w:left="3600" w:hanging="360"/>
      </w:pPr>
      <w:rPr>
        <w:rFonts w:ascii="Symbol" w:hAnsi="Symbol" w:cs="Wingdings"/>
        <w:sz w:val="24"/>
        <w:szCs w:val="24"/>
        <w:lang w:val="es-ES"/>
      </w:rPr>
    </w:lvl>
  </w:abstractNum>
  <w:abstractNum w:abstractNumId="44" w15:restartNumberingAfterBreak="0">
    <w:nsid w:val="7E512EBA"/>
    <w:multiLevelType w:val="hybridMultilevel"/>
    <w:tmpl w:val="1F8239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12"/>
  </w:num>
  <w:num w:numId="2">
    <w:abstractNumId w:val="17"/>
  </w:num>
  <w:num w:numId="3">
    <w:abstractNumId w:val="22"/>
  </w:num>
  <w:num w:numId="4">
    <w:abstractNumId w:val="21"/>
  </w:num>
  <w:num w:numId="5">
    <w:abstractNumId w:val="43"/>
  </w:num>
  <w:num w:numId="6">
    <w:abstractNumId w:val="9"/>
  </w:num>
  <w:num w:numId="7">
    <w:abstractNumId w:val="20"/>
  </w:num>
  <w:num w:numId="8">
    <w:abstractNumId w:val="18"/>
  </w:num>
  <w:num w:numId="9">
    <w:abstractNumId w:val="15"/>
  </w:num>
  <w:num w:numId="10">
    <w:abstractNumId w:val="34"/>
  </w:num>
  <w:num w:numId="11">
    <w:abstractNumId w:val="27"/>
  </w:num>
  <w:num w:numId="12">
    <w:abstractNumId w:val="7"/>
  </w:num>
  <w:num w:numId="13">
    <w:abstractNumId w:val="41"/>
  </w:num>
  <w:num w:numId="14">
    <w:abstractNumId w:val="10"/>
  </w:num>
  <w:num w:numId="15">
    <w:abstractNumId w:val="32"/>
  </w:num>
  <w:num w:numId="16">
    <w:abstractNumId w:val="36"/>
  </w:num>
  <w:num w:numId="17">
    <w:abstractNumId w:val="37"/>
  </w:num>
  <w:num w:numId="18">
    <w:abstractNumId w:val="26"/>
  </w:num>
  <w:num w:numId="19">
    <w:abstractNumId w:val="31"/>
  </w:num>
  <w:num w:numId="20">
    <w:abstractNumId w:val="28"/>
  </w:num>
  <w:num w:numId="21">
    <w:abstractNumId w:val="35"/>
  </w:num>
  <w:num w:numId="22">
    <w:abstractNumId w:val="42"/>
  </w:num>
  <w:num w:numId="23">
    <w:abstractNumId w:val="4"/>
  </w:num>
  <w:num w:numId="24">
    <w:abstractNumId w:val="30"/>
  </w:num>
  <w:num w:numId="25">
    <w:abstractNumId w:val="38"/>
  </w:num>
  <w:num w:numId="26">
    <w:abstractNumId w:val="6"/>
  </w:num>
  <w:num w:numId="27">
    <w:abstractNumId w:val="23"/>
  </w:num>
  <w:num w:numId="28">
    <w:abstractNumId w:val="24"/>
  </w:num>
  <w:num w:numId="29">
    <w:abstractNumId w:val="5"/>
  </w:num>
  <w:num w:numId="30">
    <w:abstractNumId w:val="33"/>
  </w:num>
  <w:num w:numId="31">
    <w:abstractNumId w:val="29"/>
  </w:num>
  <w:num w:numId="32">
    <w:abstractNumId w:val="11"/>
  </w:num>
  <w:num w:numId="33">
    <w:abstractNumId w:val="3"/>
  </w:num>
  <w:num w:numId="34">
    <w:abstractNumId w:val="13"/>
  </w:num>
  <w:num w:numId="35">
    <w:abstractNumId w:val="40"/>
  </w:num>
  <w:num w:numId="36">
    <w:abstractNumId w:val="20"/>
    <w:lvlOverride w:ilvl="0">
      <w:startOverride w:val="1"/>
    </w:lvlOverride>
  </w:num>
  <w:num w:numId="37">
    <w:abstractNumId w:val="9"/>
    <w:lvlOverride w:ilvl="0">
      <w:startOverride w:val="1"/>
    </w:lvlOverride>
  </w:num>
  <w:num w:numId="38">
    <w:abstractNumId w:val="25"/>
  </w:num>
  <w:num w:numId="39">
    <w:abstractNumId w:val="0"/>
  </w:num>
  <w:num w:numId="40">
    <w:abstractNumId w:val="1"/>
  </w:num>
  <w:num w:numId="41">
    <w:abstractNumId w:val="16"/>
  </w:num>
  <w:num w:numId="42">
    <w:abstractNumId w:val="44"/>
  </w:num>
  <w:num w:numId="43">
    <w:abstractNumId w:val="39"/>
  </w:num>
  <w:num w:numId="44">
    <w:abstractNumId w:val="14"/>
  </w:num>
  <w:num w:numId="45">
    <w:abstractNumId w:val="2"/>
  </w:num>
  <w:num w:numId="46">
    <w:abstractNumId w:val="19"/>
  </w:num>
  <w:num w:numId="47">
    <w:abstractNumId w:val="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numRestart w:val="eachPage"/>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0FB5"/>
    <w:rsid w:val="00023C35"/>
    <w:rsid w:val="00025A65"/>
    <w:rsid w:val="0004188B"/>
    <w:rsid w:val="00044E9F"/>
    <w:rsid w:val="00050920"/>
    <w:rsid w:val="00055385"/>
    <w:rsid w:val="000573A7"/>
    <w:rsid w:val="00082F66"/>
    <w:rsid w:val="000869B5"/>
    <w:rsid w:val="000B2DDB"/>
    <w:rsid w:val="000D3A41"/>
    <w:rsid w:val="000D734D"/>
    <w:rsid w:val="000E3508"/>
    <w:rsid w:val="000E5937"/>
    <w:rsid w:val="00120432"/>
    <w:rsid w:val="001321AE"/>
    <w:rsid w:val="001528C4"/>
    <w:rsid w:val="00163FBC"/>
    <w:rsid w:val="0017378A"/>
    <w:rsid w:val="00196550"/>
    <w:rsid w:val="001A0276"/>
    <w:rsid w:val="001E0910"/>
    <w:rsid w:val="001E24D2"/>
    <w:rsid w:val="001E6AD2"/>
    <w:rsid w:val="001F3044"/>
    <w:rsid w:val="001F3F23"/>
    <w:rsid w:val="002014AA"/>
    <w:rsid w:val="00206F5E"/>
    <w:rsid w:val="00226D29"/>
    <w:rsid w:val="0025231A"/>
    <w:rsid w:val="00252531"/>
    <w:rsid w:val="0025599F"/>
    <w:rsid w:val="002562E9"/>
    <w:rsid w:val="00281386"/>
    <w:rsid w:val="00286B5E"/>
    <w:rsid w:val="002905C2"/>
    <w:rsid w:val="002962DF"/>
    <w:rsid w:val="002A2BCC"/>
    <w:rsid w:val="002A7A25"/>
    <w:rsid w:val="002B5CD8"/>
    <w:rsid w:val="002C198A"/>
    <w:rsid w:val="002C5DAA"/>
    <w:rsid w:val="002E2AAC"/>
    <w:rsid w:val="002E4E09"/>
    <w:rsid w:val="002E7D5F"/>
    <w:rsid w:val="002F0636"/>
    <w:rsid w:val="002F7512"/>
    <w:rsid w:val="003155FF"/>
    <w:rsid w:val="00315DFF"/>
    <w:rsid w:val="00316A30"/>
    <w:rsid w:val="00325E3B"/>
    <w:rsid w:val="00330591"/>
    <w:rsid w:val="00330A0C"/>
    <w:rsid w:val="00332A3A"/>
    <w:rsid w:val="003408D1"/>
    <w:rsid w:val="00342C17"/>
    <w:rsid w:val="0034586C"/>
    <w:rsid w:val="003472E3"/>
    <w:rsid w:val="00357FF5"/>
    <w:rsid w:val="00393A4F"/>
    <w:rsid w:val="00395C6C"/>
    <w:rsid w:val="003A0BEB"/>
    <w:rsid w:val="003A53AB"/>
    <w:rsid w:val="003C11E0"/>
    <w:rsid w:val="003D35A0"/>
    <w:rsid w:val="003E72F7"/>
    <w:rsid w:val="00405275"/>
    <w:rsid w:val="004137AA"/>
    <w:rsid w:val="00415FA0"/>
    <w:rsid w:val="0044447E"/>
    <w:rsid w:val="00451620"/>
    <w:rsid w:val="00451C85"/>
    <w:rsid w:val="00460730"/>
    <w:rsid w:val="00463445"/>
    <w:rsid w:val="004701AA"/>
    <w:rsid w:val="004B1D84"/>
    <w:rsid w:val="004B4F18"/>
    <w:rsid w:val="004C008E"/>
    <w:rsid w:val="004C12BA"/>
    <w:rsid w:val="004C33A1"/>
    <w:rsid w:val="004D20D8"/>
    <w:rsid w:val="004E2914"/>
    <w:rsid w:val="004F700E"/>
    <w:rsid w:val="0050559D"/>
    <w:rsid w:val="00516D98"/>
    <w:rsid w:val="00547F36"/>
    <w:rsid w:val="00557974"/>
    <w:rsid w:val="00567186"/>
    <w:rsid w:val="00572168"/>
    <w:rsid w:val="005734C7"/>
    <w:rsid w:val="005918DC"/>
    <w:rsid w:val="005931AA"/>
    <w:rsid w:val="00593A69"/>
    <w:rsid w:val="00594CE1"/>
    <w:rsid w:val="0059516C"/>
    <w:rsid w:val="005B3D3C"/>
    <w:rsid w:val="005C6834"/>
    <w:rsid w:val="005F6333"/>
    <w:rsid w:val="005F6DD5"/>
    <w:rsid w:val="00615538"/>
    <w:rsid w:val="0061660E"/>
    <w:rsid w:val="0062408D"/>
    <w:rsid w:val="00646DC6"/>
    <w:rsid w:val="00653730"/>
    <w:rsid w:val="00696D68"/>
    <w:rsid w:val="006A3FD6"/>
    <w:rsid w:val="006A5F7E"/>
    <w:rsid w:val="006A7430"/>
    <w:rsid w:val="006C76E6"/>
    <w:rsid w:val="006D3F29"/>
    <w:rsid w:val="00703ADA"/>
    <w:rsid w:val="00704768"/>
    <w:rsid w:val="007066D0"/>
    <w:rsid w:val="00707ADD"/>
    <w:rsid w:val="00714D04"/>
    <w:rsid w:val="00731680"/>
    <w:rsid w:val="0073463B"/>
    <w:rsid w:val="0076172A"/>
    <w:rsid w:val="0078609F"/>
    <w:rsid w:val="007A206B"/>
    <w:rsid w:val="007C7C66"/>
    <w:rsid w:val="007D4777"/>
    <w:rsid w:val="007D513A"/>
    <w:rsid w:val="007E654A"/>
    <w:rsid w:val="007F5154"/>
    <w:rsid w:val="008067DB"/>
    <w:rsid w:val="0083271E"/>
    <w:rsid w:val="00832E1B"/>
    <w:rsid w:val="00836612"/>
    <w:rsid w:val="0084586B"/>
    <w:rsid w:val="00873C14"/>
    <w:rsid w:val="00880D19"/>
    <w:rsid w:val="00896800"/>
    <w:rsid w:val="008A4A19"/>
    <w:rsid w:val="008B2322"/>
    <w:rsid w:val="008C40A5"/>
    <w:rsid w:val="008C5658"/>
    <w:rsid w:val="008C7864"/>
    <w:rsid w:val="008D6663"/>
    <w:rsid w:val="008D6874"/>
    <w:rsid w:val="008F1B1F"/>
    <w:rsid w:val="009150DC"/>
    <w:rsid w:val="0092033B"/>
    <w:rsid w:val="00932BE4"/>
    <w:rsid w:val="00940790"/>
    <w:rsid w:val="009415C6"/>
    <w:rsid w:val="00957789"/>
    <w:rsid w:val="009646EC"/>
    <w:rsid w:val="0098320D"/>
    <w:rsid w:val="00991C2F"/>
    <w:rsid w:val="00996963"/>
    <w:rsid w:val="009F4151"/>
    <w:rsid w:val="00A21092"/>
    <w:rsid w:val="00A45977"/>
    <w:rsid w:val="00A47C19"/>
    <w:rsid w:val="00A52190"/>
    <w:rsid w:val="00A648C2"/>
    <w:rsid w:val="00A856E4"/>
    <w:rsid w:val="00A87E31"/>
    <w:rsid w:val="00AB0AF5"/>
    <w:rsid w:val="00AB2585"/>
    <w:rsid w:val="00AB28ED"/>
    <w:rsid w:val="00AC0A7D"/>
    <w:rsid w:val="00AD5B5B"/>
    <w:rsid w:val="00AE0D1A"/>
    <w:rsid w:val="00AF2A17"/>
    <w:rsid w:val="00AF3D71"/>
    <w:rsid w:val="00B064F7"/>
    <w:rsid w:val="00B27A84"/>
    <w:rsid w:val="00B3354C"/>
    <w:rsid w:val="00B340D5"/>
    <w:rsid w:val="00B41B9C"/>
    <w:rsid w:val="00B50FB5"/>
    <w:rsid w:val="00B65ADF"/>
    <w:rsid w:val="00BA3B81"/>
    <w:rsid w:val="00BC7696"/>
    <w:rsid w:val="00BE3B97"/>
    <w:rsid w:val="00BF0934"/>
    <w:rsid w:val="00BF4D1C"/>
    <w:rsid w:val="00C10261"/>
    <w:rsid w:val="00C1632C"/>
    <w:rsid w:val="00C44CD4"/>
    <w:rsid w:val="00C477D7"/>
    <w:rsid w:val="00C50996"/>
    <w:rsid w:val="00C62710"/>
    <w:rsid w:val="00C64C62"/>
    <w:rsid w:val="00C65E53"/>
    <w:rsid w:val="00C72B66"/>
    <w:rsid w:val="00C93990"/>
    <w:rsid w:val="00C9494A"/>
    <w:rsid w:val="00CB7F0D"/>
    <w:rsid w:val="00CC009A"/>
    <w:rsid w:val="00CD0419"/>
    <w:rsid w:val="00CD29D0"/>
    <w:rsid w:val="00CD4A24"/>
    <w:rsid w:val="00CE5868"/>
    <w:rsid w:val="00CF7BDD"/>
    <w:rsid w:val="00D13142"/>
    <w:rsid w:val="00D14F82"/>
    <w:rsid w:val="00D215AE"/>
    <w:rsid w:val="00D26C6D"/>
    <w:rsid w:val="00D43330"/>
    <w:rsid w:val="00D45252"/>
    <w:rsid w:val="00D81D13"/>
    <w:rsid w:val="00D948CE"/>
    <w:rsid w:val="00DA6685"/>
    <w:rsid w:val="00DA7BF1"/>
    <w:rsid w:val="00DB3B45"/>
    <w:rsid w:val="00DB5391"/>
    <w:rsid w:val="00DC0794"/>
    <w:rsid w:val="00DC62AC"/>
    <w:rsid w:val="00DF0203"/>
    <w:rsid w:val="00DF1FF6"/>
    <w:rsid w:val="00E01E29"/>
    <w:rsid w:val="00E04530"/>
    <w:rsid w:val="00E16D1D"/>
    <w:rsid w:val="00E24698"/>
    <w:rsid w:val="00E25DD7"/>
    <w:rsid w:val="00E26B0C"/>
    <w:rsid w:val="00E77796"/>
    <w:rsid w:val="00E86356"/>
    <w:rsid w:val="00E91C37"/>
    <w:rsid w:val="00E9222A"/>
    <w:rsid w:val="00EA5DA2"/>
    <w:rsid w:val="00EB1ACE"/>
    <w:rsid w:val="00ED1297"/>
    <w:rsid w:val="00EE0BBF"/>
    <w:rsid w:val="00EF5C2E"/>
    <w:rsid w:val="00F13A32"/>
    <w:rsid w:val="00F20C63"/>
    <w:rsid w:val="00F34272"/>
    <w:rsid w:val="00F40F1D"/>
    <w:rsid w:val="00F66DFB"/>
    <w:rsid w:val="00F67DC5"/>
    <w:rsid w:val="00F7147C"/>
    <w:rsid w:val="00F715DE"/>
    <w:rsid w:val="00F71954"/>
    <w:rsid w:val="00F73285"/>
    <w:rsid w:val="00F73718"/>
    <w:rsid w:val="00F843A3"/>
    <w:rsid w:val="00FA155A"/>
    <w:rsid w:val="00FB0E4E"/>
    <w:rsid w:val="00FB38C9"/>
    <w:rsid w:val="00FB74DF"/>
    <w:rsid w:val="00FC3ABE"/>
    <w:rsid w:val="00FC4970"/>
    <w:rsid w:val="00FC5047"/>
    <w:rsid w:val="00FD2F83"/>
    <w:rsid w:val="00FD3536"/>
    <w:rsid w:val="00FD4953"/>
    <w:rsid w:val="00FE34F0"/>
    <w:rsid w:val="00FF1D66"/>
    <w:rsid w:val="00FF701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CAA9D07"/>
  <w15:chartTrackingRefBased/>
  <w15:docId w15:val="{274B0DDA-0475-454E-AA16-D6CCB68FE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before="100" w:beforeAutospacing="1" w:after="100" w:afterAutospacing="1" w:line="360"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Standard"/>
    <w:next w:val="Standard"/>
    <w:link w:val="Ttulo1Car"/>
    <w:rsid w:val="00415FA0"/>
    <w:pPr>
      <w:keepNext/>
      <w:tabs>
        <w:tab w:val="left" w:pos="0"/>
        <w:tab w:val="left" w:pos="3780"/>
      </w:tabs>
      <w:outlineLvl w:val="0"/>
    </w:pPr>
    <w:rPr>
      <w:b/>
    </w:rPr>
  </w:style>
  <w:style w:type="paragraph" w:styleId="Ttulo2">
    <w:name w:val="heading 2"/>
    <w:basedOn w:val="Normal"/>
    <w:next w:val="Normal"/>
    <w:link w:val="Ttulo2Car"/>
    <w:unhideWhenUsed/>
    <w:qFormat/>
    <w:rsid w:val="00D215A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8">
    <w:name w:val="heading 8"/>
    <w:basedOn w:val="Normal"/>
    <w:next w:val="Normal"/>
    <w:link w:val="Ttulo8Car"/>
    <w:unhideWhenUsed/>
    <w:qFormat/>
    <w:rsid w:val="00D215AE"/>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415FA0"/>
    <w:rPr>
      <w:rFonts w:ascii="Times New Roman" w:eastAsia="Times New Roman" w:hAnsi="Times New Roman" w:cs="Times New Roman"/>
      <w:b/>
      <w:kern w:val="3"/>
      <w:sz w:val="24"/>
      <w:szCs w:val="20"/>
      <w:lang w:val="es-ES" w:eastAsia="zh-CN"/>
    </w:rPr>
  </w:style>
  <w:style w:type="paragraph" w:customStyle="1" w:styleId="Standard">
    <w:name w:val="Standard"/>
    <w:rsid w:val="00415FA0"/>
    <w:pPr>
      <w:suppressAutoHyphens/>
      <w:overflowPunct w:val="0"/>
      <w:autoSpaceDE w:val="0"/>
      <w:autoSpaceDN w:val="0"/>
      <w:spacing w:before="0" w:beforeAutospacing="0" w:after="0" w:afterAutospacing="0" w:line="240" w:lineRule="auto"/>
      <w:jc w:val="left"/>
      <w:textAlignment w:val="baseline"/>
    </w:pPr>
    <w:rPr>
      <w:rFonts w:ascii="Times New Roman" w:eastAsia="Times New Roman" w:hAnsi="Times New Roman" w:cs="Times New Roman"/>
      <w:kern w:val="3"/>
      <w:sz w:val="24"/>
      <w:szCs w:val="20"/>
      <w:lang w:val="es-ES" w:eastAsia="zh-CN"/>
    </w:rPr>
  </w:style>
  <w:style w:type="paragraph" w:customStyle="1" w:styleId="Textbody">
    <w:name w:val="Text body"/>
    <w:basedOn w:val="Standard"/>
    <w:rsid w:val="00415FA0"/>
    <w:pPr>
      <w:jc w:val="both"/>
    </w:pPr>
  </w:style>
  <w:style w:type="paragraph" w:customStyle="1" w:styleId="TableHeading">
    <w:name w:val="Table Heading"/>
    <w:basedOn w:val="Normal"/>
    <w:rsid w:val="00415FA0"/>
    <w:pPr>
      <w:suppressLineNumbers/>
      <w:suppressAutoHyphens/>
      <w:overflowPunct w:val="0"/>
      <w:autoSpaceDE w:val="0"/>
      <w:autoSpaceDN w:val="0"/>
      <w:spacing w:before="0" w:beforeAutospacing="0" w:after="0" w:afterAutospacing="0" w:line="240" w:lineRule="auto"/>
      <w:jc w:val="center"/>
      <w:textAlignment w:val="baseline"/>
    </w:pPr>
    <w:rPr>
      <w:rFonts w:ascii="Times New Roman" w:eastAsia="Times New Roman" w:hAnsi="Times New Roman" w:cs="Times New Roman"/>
      <w:b/>
      <w:kern w:val="3"/>
      <w:sz w:val="24"/>
      <w:szCs w:val="20"/>
      <w:lang w:val="es-ES" w:eastAsia="zh-CN"/>
    </w:rPr>
  </w:style>
  <w:style w:type="paragraph" w:styleId="Ttulo">
    <w:name w:val="Title"/>
    <w:basedOn w:val="Standard"/>
    <w:next w:val="Subttulo"/>
    <w:link w:val="TtuloCar"/>
    <w:rsid w:val="00415FA0"/>
    <w:pPr>
      <w:jc w:val="center"/>
    </w:pPr>
    <w:rPr>
      <w:b/>
      <w:sz w:val="32"/>
    </w:rPr>
  </w:style>
  <w:style w:type="character" w:customStyle="1" w:styleId="TtuloCar">
    <w:name w:val="Título Car"/>
    <w:basedOn w:val="Fuentedeprrafopredeter"/>
    <w:link w:val="Ttulo"/>
    <w:rsid w:val="00415FA0"/>
    <w:rPr>
      <w:rFonts w:ascii="Times New Roman" w:eastAsia="Times New Roman" w:hAnsi="Times New Roman" w:cs="Times New Roman"/>
      <w:b/>
      <w:kern w:val="3"/>
      <w:sz w:val="32"/>
      <w:szCs w:val="20"/>
      <w:lang w:val="es-ES" w:eastAsia="zh-CN"/>
    </w:rPr>
  </w:style>
  <w:style w:type="paragraph" w:styleId="NormalWeb">
    <w:name w:val="Normal (Web)"/>
    <w:basedOn w:val="Standard"/>
    <w:rsid w:val="00415FA0"/>
    <w:pPr>
      <w:spacing w:before="280"/>
      <w:jc w:val="both"/>
    </w:pPr>
  </w:style>
  <w:style w:type="paragraph" w:customStyle="1" w:styleId="Textoindependiente21">
    <w:name w:val="Texto independiente 21"/>
    <w:basedOn w:val="Standard"/>
    <w:rsid w:val="00415FA0"/>
    <w:pPr>
      <w:tabs>
        <w:tab w:val="left" w:pos="3780"/>
      </w:tabs>
      <w:jc w:val="both"/>
    </w:pPr>
    <w:rPr>
      <w:sz w:val="26"/>
    </w:rPr>
  </w:style>
  <w:style w:type="numbering" w:customStyle="1" w:styleId="WW8Num10">
    <w:name w:val="WW8Num10"/>
    <w:basedOn w:val="Sinlista"/>
    <w:rsid w:val="00415FA0"/>
    <w:pPr>
      <w:numPr>
        <w:numId w:val="1"/>
      </w:numPr>
    </w:pPr>
  </w:style>
  <w:style w:type="paragraph" w:styleId="Subttulo">
    <w:name w:val="Subtitle"/>
    <w:basedOn w:val="Normal"/>
    <w:next w:val="Normal"/>
    <w:link w:val="SubttuloCar"/>
    <w:uiPriority w:val="11"/>
    <w:qFormat/>
    <w:rsid w:val="00415FA0"/>
    <w:pPr>
      <w:numPr>
        <w:ilvl w:val="1"/>
      </w:numPr>
      <w:spacing w:after="160"/>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415FA0"/>
    <w:rPr>
      <w:rFonts w:eastAsiaTheme="minorEastAsia"/>
      <w:color w:val="5A5A5A" w:themeColor="text1" w:themeTint="A5"/>
      <w:spacing w:val="15"/>
    </w:rPr>
  </w:style>
  <w:style w:type="paragraph" w:styleId="Prrafodelista">
    <w:name w:val="List Paragraph"/>
    <w:basedOn w:val="Normal"/>
    <w:uiPriority w:val="34"/>
    <w:qFormat/>
    <w:rsid w:val="00FB74DF"/>
    <w:pPr>
      <w:ind w:left="720"/>
      <w:contextualSpacing/>
    </w:pPr>
  </w:style>
  <w:style w:type="paragraph" w:styleId="Encabezado">
    <w:name w:val="header"/>
    <w:basedOn w:val="Normal"/>
    <w:link w:val="EncabezadoCar"/>
    <w:unhideWhenUsed/>
    <w:rsid w:val="00D215AE"/>
    <w:pPr>
      <w:tabs>
        <w:tab w:val="center" w:pos="4419"/>
        <w:tab w:val="right" w:pos="8838"/>
      </w:tabs>
      <w:spacing w:before="0" w:after="0" w:line="240" w:lineRule="auto"/>
    </w:pPr>
  </w:style>
  <w:style w:type="character" w:customStyle="1" w:styleId="EncabezadoCar">
    <w:name w:val="Encabezado Car"/>
    <w:basedOn w:val="Fuentedeprrafopredeter"/>
    <w:link w:val="Encabezado"/>
    <w:rsid w:val="00D215AE"/>
  </w:style>
  <w:style w:type="paragraph" w:styleId="Piedepgina">
    <w:name w:val="footer"/>
    <w:basedOn w:val="Normal"/>
    <w:link w:val="PiedepginaCar"/>
    <w:uiPriority w:val="99"/>
    <w:unhideWhenUsed/>
    <w:rsid w:val="00D215AE"/>
    <w:pPr>
      <w:tabs>
        <w:tab w:val="center" w:pos="4419"/>
        <w:tab w:val="right" w:pos="8838"/>
      </w:tabs>
      <w:spacing w:before="0" w:after="0" w:line="240" w:lineRule="auto"/>
    </w:pPr>
  </w:style>
  <w:style w:type="character" w:customStyle="1" w:styleId="PiedepginaCar">
    <w:name w:val="Pie de página Car"/>
    <w:basedOn w:val="Fuentedeprrafopredeter"/>
    <w:link w:val="Piedepgina"/>
    <w:uiPriority w:val="99"/>
    <w:rsid w:val="00D215AE"/>
  </w:style>
  <w:style w:type="character" w:customStyle="1" w:styleId="Ttulo2Car">
    <w:name w:val="Título 2 Car"/>
    <w:basedOn w:val="Fuentedeprrafopredeter"/>
    <w:link w:val="Ttulo2"/>
    <w:uiPriority w:val="9"/>
    <w:semiHidden/>
    <w:rsid w:val="00D215AE"/>
    <w:rPr>
      <w:rFonts w:asciiTheme="majorHAnsi" w:eastAsiaTheme="majorEastAsia" w:hAnsiTheme="majorHAnsi" w:cstheme="majorBidi"/>
      <w:color w:val="2E74B5" w:themeColor="accent1" w:themeShade="BF"/>
      <w:sz w:val="26"/>
      <w:szCs w:val="26"/>
    </w:rPr>
  </w:style>
  <w:style w:type="character" w:customStyle="1" w:styleId="Ttulo8Car">
    <w:name w:val="Título 8 Car"/>
    <w:basedOn w:val="Fuentedeprrafopredeter"/>
    <w:link w:val="Ttulo8"/>
    <w:uiPriority w:val="9"/>
    <w:semiHidden/>
    <w:rsid w:val="00D215AE"/>
    <w:rPr>
      <w:rFonts w:asciiTheme="majorHAnsi" w:eastAsiaTheme="majorEastAsia" w:hAnsiTheme="majorHAnsi" w:cstheme="majorBidi"/>
      <w:color w:val="272727" w:themeColor="text1" w:themeTint="D8"/>
      <w:sz w:val="21"/>
      <w:szCs w:val="21"/>
    </w:rPr>
  </w:style>
  <w:style w:type="paragraph" w:customStyle="1" w:styleId="Heading">
    <w:name w:val="Heading"/>
    <w:basedOn w:val="Standard"/>
    <w:next w:val="Textbody"/>
    <w:rsid w:val="00D215AE"/>
    <w:pPr>
      <w:keepNext/>
      <w:widowControl w:val="0"/>
      <w:overflowPunct/>
      <w:autoSpaceDE/>
      <w:spacing w:before="240" w:after="120" w:line="276" w:lineRule="auto"/>
    </w:pPr>
    <w:rPr>
      <w:rFonts w:ascii="Arial" w:eastAsia="Microsoft YaHei" w:hAnsi="Arial" w:cs="Mangal"/>
      <w:sz w:val="28"/>
      <w:szCs w:val="28"/>
      <w:lang w:bidi="hi-IN"/>
    </w:rPr>
  </w:style>
  <w:style w:type="paragraph" w:styleId="Lista">
    <w:name w:val="List"/>
    <w:basedOn w:val="Textbody"/>
    <w:rsid w:val="00D215AE"/>
    <w:pPr>
      <w:widowControl w:val="0"/>
      <w:overflowPunct/>
      <w:autoSpaceDE/>
      <w:spacing w:after="120" w:line="276" w:lineRule="auto"/>
      <w:jc w:val="left"/>
    </w:pPr>
    <w:rPr>
      <w:rFonts w:ascii="Calibri" w:eastAsia="SimSun" w:hAnsi="Calibri" w:cs="Mangal"/>
      <w:szCs w:val="24"/>
      <w:lang w:bidi="hi-IN"/>
    </w:rPr>
  </w:style>
  <w:style w:type="paragraph" w:styleId="Descripcin">
    <w:name w:val="caption"/>
    <w:basedOn w:val="Standard"/>
    <w:rsid w:val="00D215AE"/>
    <w:pPr>
      <w:widowControl w:val="0"/>
      <w:suppressLineNumbers/>
      <w:overflowPunct/>
      <w:autoSpaceDE/>
      <w:spacing w:before="120" w:after="120" w:line="276" w:lineRule="auto"/>
    </w:pPr>
    <w:rPr>
      <w:rFonts w:ascii="Calibri" w:eastAsia="SimSun" w:hAnsi="Calibri" w:cs="Mangal"/>
      <w:i/>
      <w:iCs/>
      <w:szCs w:val="24"/>
      <w:lang w:bidi="hi-IN"/>
    </w:rPr>
  </w:style>
  <w:style w:type="paragraph" w:customStyle="1" w:styleId="Index">
    <w:name w:val="Index"/>
    <w:basedOn w:val="Standard"/>
    <w:rsid w:val="00D215AE"/>
    <w:pPr>
      <w:widowControl w:val="0"/>
      <w:suppressLineNumbers/>
      <w:overflowPunct/>
      <w:autoSpaceDE/>
      <w:spacing w:after="200" w:line="276" w:lineRule="auto"/>
    </w:pPr>
    <w:rPr>
      <w:rFonts w:ascii="Calibri" w:eastAsia="SimSun" w:hAnsi="Calibri" w:cs="Mangal"/>
      <w:szCs w:val="24"/>
      <w:lang w:bidi="hi-IN"/>
    </w:rPr>
  </w:style>
  <w:style w:type="paragraph" w:customStyle="1" w:styleId="Encabezado1">
    <w:name w:val="Encabezado1"/>
    <w:basedOn w:val="Standard"/>
    <w:rsid w:val="00D215AE"/>
    <w:pPr>
      <w:keepNext/>
      <w:widowControl w:val="0"/>
      <w:overflowPunct/>
      <w:autoSpaceDE/>
      <w:spacing w:before="240" w:after="120" w:line="276" w:lineRule="auto"/>
    </w:pPr>
    <w:rPr>
      <w:rFonts w:ascii="Arial" w:eastAsia="Microsoft YaHei" w:hAnsi="Arial" w:cs="Mangal"/>
      <w:sz w:val="28"/>
      <w:szCs w:val="28"/>
      <w:lang w:bidi="hi-IN"/>
    </w:rPr>
  </w:style>
  <w:style w:type="paragraph" w:customStyle="1" w:styleId="Textodeglobo1">
    <w:name w:val="Texto de globo1"/>
    <w:basedOn w:val="Standard"/>
    <w:rsid w:val="00D215AE"/>
    <w:pPr>
      <w:widowControl w:val="0"/>
      <w:overflowPunct/>
      <w:autoSpaceDE/>
      <w:spacing w:line="100" w:lineRule="atLeast"/>
    </w:pPr>
    <w:rPr>
      <w:rFonts w:ascii="Tahoma" w:eastAsia="SimSun" w:hAnsi="Tahoma" w:cs="Mangal"/>
      <w:sz w:val="16"/>
      <w:szCs w:val="16"/>
      <w:lang w:bidi="hi-IN"/>
    </w:rPr>
  </w:style>
  <w:style w:type="paragraph" w:customStyle="1" w:styleId="Prrafodelista1">
    <w:name w:val="Párrafo de lista1"/>
    <w:basedOn w:val="Standard"/>
    <w:rsid w:val="00D215AE"/>
    <w:pPr>
      <w:widowControl w:val="0"/>
      <w:overflowPunct/>
      <w:autoSpaceDE/>
      <w:spacing w:after="200" w:line="276" w:lineRule="auto"/>
      <w:ind w:left="720"/>
    </w:pPr>
    <w:rPr>
      <w:rFonts w:ascii="Calibri" w:eastAsia="SimSun" w:hAnsi="Calibri" w:cs="Mangal"/>
      <w:szCs w:val="24"/>
      <w:lang w:bidi="hi-IN"/>
    </w:rPr>
  </w:style>
  <w:style w:type="paragraph" w:customStyle="1" w:styleId="TableContents">
    <w:name w:val="Table Contents"/>
    <w:basedOn w:val="Standard"/>
    <w:rsid w:val="00D215AE"/>
    <w:pPr>
      <w:widowControl w:val="0"/>
      <w:suppressLineNumbers/>
      <w:overflowPunct/>
      <w:autoSpaceDE/>
      <w:spacing w:after="200" w:line="276" w:lineRule="auto"/>
    </w:pPr>
    <w:rPr>
      <w:rFonts w:ascii="Calibri" w:eastAsia="SimSun" w:hAnsi="Calibri" w:cs="Mangal"/>
      <w:szCs w:val="24"/>
      <w:lang w:bidi="hi-IN"/>
    </w:rPr>
  </w:style>
  <w:style w:type="paragraph" w:customStyle="1" w:styleId="Textoindependiente32">
    <w:name w:val="Texto independiente 32"/>
    <w:basedOn w:val="Standard"/>
    <w:rsid w:val="00D215AE"/>
    <w:pPr>
      <w:widowControl w:val="0"/>
      <w:shd w:val="clear" w:color="auto" w:fill="FFFFFF"/>
      <w:tabs>
        <w:tab w:val="left" w:pos="-195"/>
        <w:tab w:val="left" w:pos="30"/>
      </w:tabs>
      <w:overflowPunct/>
      <w:autoSpaceDE/>
      <w:spacing w:line="100" w:lineRule="atLeast"/>
      <w:ind w:right="14"/>
      <w:jc w:val="both"/>
    </w:pPr>
    <w:rPr>
      <w:rFonts w:ascii="Arial" w:eastAsia="SimSun" w:hAnsi="Arial" w:cs="Arial"/>
      <w:spacing w:val="-2"/>
      <w:szCs w:val="24"/>
      <w:lang w:bidi="hi-IN"/>
    </w:rPr>
  </w:style>
  <w:style w:type="paragraph" w:customStyle="1" w:styleId="Textbodyindent">
    <w:name w:val="Text body indent"/>
    <w:basedOn w:val="Standard"/>
    <w:rsid w:val="00D215AE"/>
    <w:pPr>
      <w:widowControl w:val="0"/>
      <w:overflowPunct/>
      <w:autoSpaceDE/>
      <w:spacing w:after="120" w:line="276" w:lineRule="auto"/>
      <w:ind w:left="283"/>
    </w:pPr>
    <w:rPr>
      <w:rFonts w:ascii="Calibri" w:eastAsia="SimSun" w:hAnsi="Calibri" w:cs="Mangal"/>
      <w:szCs w:val="24"/>
      <w:lang w:bidi="hi-IN"/>
    </w:rPr>
  </w:style>
  <w:style w:type="paragraph" w:customStyle="1" w:styleId="Standarduser">
    <w:name w:val="Standard (user)"/>
    <w:rsid w:val="00D215AE"/>
    <w:pPr>
      <w:widowControl w:val="0"/>
      <w:suppressAutoHyphens/>
      <w:autoSpaceDN w:val="0"/>
      <w:spacing w:before="0" w:beforeAutospacing="0" w:after="0" w:afterAutospacing="0" w:line="240" w:lineRule="auto"/>
      <w:jc w:val="left"/>
      <w:textAlignment w:val="baseline"/>
    </w:pPr>
    <w:rPr>
      <w:rFonts w:ascii="Times New Roman" w:eastAsia="SimSun, 宋体" w:hAnsi="Times New Roman" w:cs="Mangal"/>
      <w:kern w:val="3"/>
      <w:sz w:val="24"/>
      <w:szCs w:val="24"/>
      <w:lang w:val="es-ES" w:eastAsia="zh-CN" w:bidi="hi-IN"/>
    </w:rPr>
  </w:style>
  <w:style w:type="character" w:customStyle="1" w:styleId="WW8Num1z0">
    <w:name w:val="WW8Num1z0"/>
    <w:rsid w:val="00D215AE"/>
    <w:rPr>
      <w:lang w:val="es-ES"/>
    </w:rPr>
  </w:style>
  <w:style w:type="character" w:customStyle="1" w:styleId="WW8Num1z1">
    <w:name w:val="WW8Num1z1"/>
    <w:rsid w:val="00D215AE"/>
  </w:style>
  <w:style w:type="character" w:customStyle="1" w:styleId="WW8Num1z2">
    <w:name w:val="WW8Num1z2"/>
    <w:rsid w:val="00D215AE"/>
  </w:style>
  <w:style w:type="character" w:customStyle="1" w:styleId="WW8Num1z3">
    <w:name w:val="WW8Num1z3"/>
    <w:rsid w:val="00D215AE"/>
  </w:style>
  <w:style w:type="character" w:customStyle="1" w:styleId="WW8Num1z4">
    <w:name w:val="WW8Num1z4"/>
    <w:rsid w:val="00D215AE"/>
  </w:style>
  <w:style w:type="character" w:customStyle="1" w:styleId="WW8Num1z5">
    <w:name w:val="WW8Num1z5"/>
    <w:rsid w:val="00D215AE"/>
  </w:style>
  <w:style w:type="character" w:customStyle="1" w:styleId="WW8Num1z6">
    <w:name w:val="WW8Num1z6"/>
    <w:rsid w:val="00D215AE"/>
  </w:style>
  <w:style w:type="character" w:customStyle="1" w:styleId="WW8Num1z7">
    <w:name w:val="WW8Num1z7"/>
    <w:rsid w:val="00D215AE"/>
  </w:style>
  <w:style w:type="character" w:customStyle="1" w:styleId="WW8Num1z8">
    <w:name w:val="WW8Num1z8"/>
    <w:rsid w:val="00D215AE"/>
  </w:style>
  <w:style w:type="character" w:customStyle="1" w:styleId="WW8Num2z0">
    <w:name w:val="WW8Num2z0"/>
    <w:rsid w:val="00D215AE"/>
    <w:rPr>
      <w:rFonts w:ascii="Symbol" w:hAnsi="Symbol" w:cs="Wingdings"/>
      <w:color w:val="00000A"/>
      <w:sz w:val="22"/>
      <w:szCs w:val="22"/>
      <w:lang w:val="es-ES"/>
    </w:rPr>
  </w:style>
  <w:style w:type="character" w:customStyle="1" w:styleId="WW8Num2z1">
    <w:name w:val="WW8Num2z1"/>
    <w:rsid w:val="00D215AE"/>
    <w:rPr>
      <w:rFonts w:ascii="OpenSymbol" w:hAnsi="OpenSymbol" w:cs="Wingdings"/>
      <w:color w:val="00000A"/>
      <w:sz w:val="24"/>
      <w:szCs w:val="24"/>
      <w:lang w:val="es-ES"/>
    </w:rPr>
  </w:style>
  <w:style w:type="character" w:customStyle="1" w:styleId="WW8Num2z2">
    <w:name w:val="WW8Num2z2"/>
    <w:rsid w:val="00D215AE"/>
    <w:rPr>
      <w:rFonts w:cs="Arial"/>
    </w:rPr>
  </w:style>
  <w:style w:type="character" w:customStyle="1" w:styleId="WW8Num2z3">
    <w:name w:val="WW8Num2z3"/>
    <w:rsid w:val="00D215AE"/>
  </w:style>
  <w:style w:type="character" w:customStyle="1" w:styleId="WW8Num2z4">
    <w:name w:val="WW8Num2z4"/>
    <w:rsid w:val="00D215AE"/>
  </w:style>
  <w:style w:type="character" w:customStyle="1" w:styleId="WW8Num2z5">
    <w:name w:val="WW8Num2z5"/>
    <w:rsid w:val="00D215AE"/>
  </w:style>
  <w:style w:type="character" w:customStyle="1" w:styleId="WW8Num2z6">
    <w:name w:val="WW8Num2z6"/>
    <w:rsid w:val="00D215AE"/>
  </w:style>
  <w:style w:type="character" w:customStyle="1" w:styleId="WW8Num2z7">
    <w:name w:val="WW8Num2z7"/>
    <w:rsid w:val="00D215AE"/>
  </w:style>
  <w:style w:type="character" w:customStyle="1" w:styleId="WW8Num2z8">
    <w:name w:val="WW8Num2z8"/>
    <w:rsid w:val="00D215AE"/>
  </w:style>
  <w:style w:type="character" w:customStyle="1" w:styleId="WW8Num3z0">
    <w:name w:val="WW8Num3z0"/>
    <w:rsid w:val="00D215AE"/>
    <w:rPr>
      <w:rFonts w:ascii="Symbol" w:hAnsi="Symbol" w:cs="Symbol"/>
      <w:color w:val="FF3333"/>
      <w:sz w:val="22"/>
      <w:szCs w:val="22"/>
      <w:lang w:val="es-ES"/>
    </w:rPr>
  </w:style>
  <w:style w:type="character" w:customStyle="1" w:styleId="WW8Num3z1">
    <w:name w:val="WW8Num3z1"/>
    <w:rsid w:val="00D215AE"/>
    <w:rPr>
      <w:rFonts w:ascii="Wingdings" w:hAnsi="Wingdings" w:cs="Wingdings"/>
      <w:color w:val="00000A"/>
      <w:sz w:val="22"/>
      <w:szCs w:val="22"/>
      <w:lang w:val="es-ES"/>
    </w:rPr>
  </w:style>
  <w:style w:type="character" w:customStyle="1" w:styleId="WW8Num3z2">
    <w:name w:val="WW8Num3z2"/>
    <w:rsid w:val="00D215AE"/>
    <w:rPr>
      <w:rFonts w:ascii="Arial" w:hAnsi="Arial" w:cs="Arial"/>
      <w:b/>
      <w:bCs/>
      <w:i w:val="0"/>
      <w:iCs w:val="0"/>
      <w:sz w:val="22"/>
      <w:szCs w:val="22"/>
    </w:rPr>
  </w:style>
  <w:style w:type="character" w:customStyle="1" w:styleId="WW8Num3z3">
    <w:name w:val="WW8Num3z3"/>
    <w:rsid w:val="00D215AE"/>
  </w:style>
  <w:style w:type="character" w:customStyle="1" w:styleId="WW8Num3z4">
    <w:name w:val="WW8Num3z4"/>
    <w:rsid w:val="00D215AE"/>
  </w:style>
  <w:style w:type="character" w:customStyle="1" w:styleId="WW8Num3z5">
    <w:name w:val="WW8Num3z5"/>
    <w:rsid w:val="00D215AE"/>
  </w:style>
  <w:style w:type="character" w:customStyle="1" w:styleId="WW8Num3z6">
    <w:name w:val="WW8Num3z6"/>
    <w:rsid w:val="00D215AE"/>
  </w:style>
  <w:style w:type="character" w:customStyle="1" w:styleId="WW8Num3z7">
    <w:name w:val="WW8Num3z7"/>
    <w:rsid w:val="00D215AE"/>
  </w:style>
  <w:style w:type="character" w:customStyle="1" w:styleId="WW8Num3z8">
    <w:name w:val="WW8Num3z8"/>
    <w:rsid w:val="00D215AE"/>
  </w:style>
  <w:style w:type="character" w:customStyle="1" w:styleId="WW8Num4z0">
    <w:name w:val="WW8Num4z0"/>
    <w:rsid w:val="00D215AE"/>
    <w:rPr>
      <w:rFonts w:ascii="Symbol" w:hAnsi="Symbol" w:cs="Wingdings"/>
      <w:color w:val="00000A"/>
      <w:sz w:val="22"/>
      <w:szCs w:val="22"/>
      <w:lang w:val="es-ES"/>
    </w:rPr>
  </w:style>
  <w:style w:type="character" w:customStyle="1" w:styleId="WW8Num4z1">
    <w:name w:val="WW8Num4z1"/>
    <w:rsid w:val="00D215AE"/>
    <w:rPr>
      <w:rFonts w:ascii="OpenSymbol" w:hAnsi="OpenSymbol" w:cs="Wingdings"/>
      <w:color w:val="00000A"/>
      <w:sz w:val="24"/>
      <w:szCs w:val="24"/>
      <w:lang w:val="es-ES"/>
    </w:rPr>
  </w:style>
  <w:style w:type="character" w:customStyle="1" w:styleId="WW8Num5z0">
    <w:name w:val="WW8Num5z0"/>
    <w:rsid w:val="00D215AE"/>
    <w:rPr>
      <w:rFonts w:ascii="Symbol" w:hAnsi="Symbol" w:cs="Symbol"/>
      <w:color w:val="00000A"/>
      <w:sz w:val="22"/>
      <w:szCs w:val="22"/>
      <w:lang w:val="es-CR"/>
    </w:rPr>
  </w:style>
  <w:style w:type="character" w:customStyle="1" w:styleId="WW8Num5z1">
    <w:name w:val="WW8Num5z1"/>
    <w:rsid w:val="00D215AE"/>
    <w:rPr>
      <w:rFonts w:ascii="Symbol" w:hAnsi="Symbol" w:cs="Symbol"/>
    </w:rPr>
  </w:style>
  <w:style w:type="character" w:customStyle="1" w:styleId="WW8Num6z0">
    <w:name w:val="WW8Num6z0"/>
    <w:rsid w:val="00D215AE"/>
    <w:rPr>
      <w:rFonts w:ascii="Symbol" w:eastAsia="Times New Roman" w:hAnsi="Symbol" w:cs="Symbol"/>
      <w:b w:val="0"/>
      <w:bCs/>
      <w:color w:val="00000A"/>
      <w:sz w:val="22"/>
      <w:szCs w:val="22"/>
      <w:lang w:eastAsia="ar-SA" w:bidi="ar-SA"/>
    </w:rPr>
  </w:style>
  <w:style w:type="character" w:customStyle="1" w:styleId="WW8Num6z1">
    <w:name w:val="WW8Num6z1"/>
    <w:rsid w:val="00D215AE"/>
    <w:rPr>
      <w:rFonts w:ascii="Symbol" w:hAnsi="Symbol" w:cs="Symbol"/>
      <w:sz w:val="22"/>
      <w:szCs w:val="22"/>
    </w:rPr>
  </w:style>
  <w:style w:type="character" w:customStyle="1" w:styleId="WW8Num6z3">
    <w:name w:val="WW8Num6z3"/>
    <w:rsid w:val="00D215AE"/>
  </w:style>
  <w:style w:type="character" w:customStyle="1" w:styleId="WW8Num7z0">
    <w:name w:val="WW8Num7z0"/>
    <w:rsid w:val="00D215AE"/>
    <w:rPr>
      <w:rFonts w:ascii="Symbol" w:hAnsi="Symbol" w:cs="Symbol"/>
      <w:color w:val="00000A"/>
      <w:sz w:val="22"/>
      <w:szCs w:val="22"/>
      <w:lang w:val="es-CR"/>
    </w:rPr>
  </w:style>
  <w:style w:type="character" w:customStyle="1" w:styleId="WW8Num8z0">
    <w:name w:val="WW8Num8z0"/>
    <w:rsid w:val="00D215AE"/>
    <w:rPr>
      <w:rFonts w:ascii="Symbol" w:eastAsia="Times New Roman" w:hAnsi="Symbol" w:cs="Symbol"/>
      <w:color w:val="00000A"/>
      <w:sz w:val="22"/>
      <w:szCs w:val="22"/>
      <w:lang w:val="es-CR" w:eastAsia="ar-SA" w:bidi="ar-SA"/>
    </w:rPr>
  </w:style>
  <w:style w:type="character" w:customStyle="1" w:styleId="WW8Num8z1">
    <w:name w:val="WW8Num8z1"/>
    <w:rsid w:val="00D215AE"/>
  </w:style>
  <w:style w:type="character" w:customStyle="1" w:styleId="WW8Num9z0">
    <w:name w:val="WW8Num9z0"/>
    <w:rsid w:val="00D215AE"/>
    <w:rPr>
      <w:rFonts w:ascii="Symbol" w:eastAsia="Times New Roman" w:hAnsi="Symbol" w:cs="Wingdings"/>
      <w:color w:val="00000A"/>
      <w:sz w:val="22"/>
      <w:szCs w:val="22"/>
      <w:lang w:val="es-ES" w:eastAsia="ar-SA" w:bidi="ar-SA"/>
    </w:rPr>
  </w:style>
  <w:style w:type="character" w:customStyle="1" w:styleId="WW8Num9z1">
    <w:name w:val="WW8Num9z1"/>
    <w:rsid w:val="00D215AE"/>
    <w:rPr>
      <w:rFonts w:ascii="Symbol" w:hAnsi="Symbol" w:cs="Wingdings"/>
      <w:color w:val="00000A"/>
      <w:sz w:val="24"/>
      <w:szCs w:val="24"/>
      <w:lang w:val="es-ES"/>
    </w:rPr>
  </w:style>
  <w:style w:type="character" w:customStyle="1" w:styleId="WW8Num10z0">
    <w:name w:val="WW8Num10z0"/>
    <w:rsid w:val="00D215AE"/>
    <w:rPr>
      <w:rFonts w:ascii="Symbol" w:eastAsia="Times New Roman" w:hAnsi="Symbol" w:cs="Symbol"/>
      <w:color w:val="00000A"/>
      <w:sz w:val="22"/>
      <w:szCs w:val="22"/>
      <w:lang w:eastAsia="ar-SA" w:bidi="ar-SA"/>
    </w:rPr>
  </w:style>
  <w:style w:type="character" w:customStyle="1" w:styleId="WW8Num11z0">
    <w:name w:val="WW8Num11z0"/>
    <w:rsid w:val="00D215AE"/>
    <w:rPr>
      <w:rFonts w:ascii="Symbol" w:eastAsia="Times New Roman" w:hAnsi="Symbol" w:cs="Symbol"/>
      <w:color w:val="00000A"/>
      <w:sz w:val="22"/>
      <w:szCs w:val="22"/>
      <w:lang w:val="es-ES" w:eastAsia="ar-SA" w:bidi="ar-SA"/>
    </w:rPr>
  </w:style>
  <w:style w:type="character" w:customStyle="1" w:styleId="WW8Num11z1">
    <w:name w:val="WW8Num11z1"/>
    <w:rsid w:val="00D215AE"/>
    <w:rPr>
      <w:rFonts w:ascii="OpenSymbol" w:hAnsi="OpenSymbol" w:cs="OpenSymbol"/>
    </w:rPr>
  </w:style>
  <w:style w:type="character" w:customStyle="1" w:styleId="WW8Num12z0">
    <w:name w:val="WW8Num12z0"/>
    <w:rsid w:val="00D215AE"/>
    <w:rPr>
      <w:rFonts w:ascii="Symbol" w:eastAsia="Times New Roman" w:hAnsi="Symbol" w:cs="Symbol"/>
      <w:color w:val="00000A"/>
      <w:sz w:val="22"/>
      <w:szCs w:val="22"/>
      <w:lang w:val="es-ES" w:eastAsia="ar-SA" w:bidi="ar-SA"/>
    </w:rPr>
  </w:style>
  <w:style w:type="character" w:customStyle="1" w:styleId="WW8Num13z0">
    <w:name w:val="WW8Num13z0"/>
    <w:rsid w:val="00D215AE"/>
    <w:rPr>
      <w:rFonts w:ascii="Wingdings" w:eastAsia="Times New (W1)" w:hAnsi="Wingdings" w:cs="Wingdings"/>
      <w:b w:val="0"/>
      <w:bCs w:val="0"/>
      <w:i w:val="0"/>
      <w:iCs w:val="0"/>
      <w:color w:val="00000A"/>
      <w:spacing w:val="-2"/>
      <w:kern w:val="3"/>
      <w:sz w:val="22"/>
      <w:szCs w:val="22"/>
      <w:lang w:val="es-CR" w:eastAsia="ar-SA" w:bidi="ar-SA"/>
    </w:rPr>
  </w:style>
  <w:style w:type="character" w:customStyle="1" w:styleId="WW8Num13z1">
    <w:name w:val="WW8Num13z1"/>
    <w:rsid w:val="00D215AE"/>
    <w:rPr>
      <w:rFonts w:ascii="Courier New" w:hAnsi="Courier New" w:cs="Courier New"/>
    </w:rPr>
  </w:style>
  <w:style w:type="character" w:customStyle="1" w:styleId="WW8Num14z0">
    <w:name w:val="WW8Num14z0"/>
    <w:rsid w:val="00D215AE"/>
    <w:rPr>
      <w:rFonts w:ascii="Symbol" w:hAnsi="Symbol" w:cs="OpenSymbol"/>
      <w:b w:val="0"/>
      <w:bCs w:val="0"/>
      <w:i w:val="0"/>
      <w:iCs w:val="0"/>
      <w:color w:val="00000A"/>
      <w:spacing w:val="-2"/>
      <w:sz w:val="22"/>
      <w:szCs w:val="22"/>
      <w:lang w:val="es-CR"/>
    </w:rPr>
  </w:style>
  <w:style w:type="character" w:customStyle="1" w:styleId="WW8Num14z1">
    <w:name w:val="WW8Num14z1"/>
    <w:rsid w:val="00D215AE"/>
    <w:rPr>
      <w:rFonts w:ascii="OpenSymbol" w:hAnsi="OpenSymbol" w:cs="OpenSymbol"/>
      <w:b w:val="0"/>
      <w:bCs w:val="0"/>
      <w:i w:val="0"/>
      <w:iCs w:val="0"/>
      <w:spacing w:val="-2"/>
      <w:sz w:val="22"/>
      <w:szCs w:val="22"/>
    </w:rPr>
  </w:style>
  <w:style w:type="character" w:customStyle="1" w:styleId="WW8Num15z0">
    <w:name w:val="WW8Num15z0"/>
    <w:rsid w:val="00D215AE"/>
    <w:rPr>
      <w:rFonts w:ascii="Wingdings" w:eastAsia="Times New (W1)" w:hAnsi="Wingdings" w:cs="Wingdings"/>
      <w:b w:val="0"/>
      <w:bCs w:val="0"/>
      <w:i w:val="0"/>
      <w:iCs w:val="0"/>
      <w:color w:val="00000A"/>
      <w:spacing w:val="-2"/>
      <w:kern w:val="3"/>
      <w:sz w:val="22"/>
      <w:szCs w:val="22"/>
      <w:lang w:val="es-CR" w:eastAsia="ar-SA" w:bidi="ar-SA"/>
    </w:rPr>
  </w:style>
  <w:style w:type="character" w:customStyle="1" w:styleId="WW8Num12z1">
    <w:name w:val="WW8Num12z1"/>
    <w:rsid w:val="00D215AE"/>
    <w:rPr>
      <w:rFonts w:ascii="Symbol" w:hAnsi="Symbol" w:cs="Symbol"/>
      <w:color w:val="00000A"/>
      <w:sz w:val="22"/>
      <w:szCs w:val="22"/>
      <w:lang w:val="es-ES" w:eastAsia="ar-SA" w:bidi="ar-SA"/>
    </w:rPr>
  </w:style>
  <w:style w:type="character" w:customStyle="1" w:styleId="WW8Num16z0">
    <w:name w:val="WW8Num16z0"/>
    <w:rsid w:val="00D215AE"/>
    <w:rPr>
      <w:rFonts w:ascii="Symbol" w:hAnsi="Symbol" w:cs="OpenSymbol"/>
      <w:b w:val="0"/>
      <w:bCs w:val="0"/>
      <w:i w:val="0"/>
      <w:iCs w:val="0"/>
      <w:spacing w:val="-2"/>
      <w:sz w:val="22"/>
      <w:szCs w:val="22"/>
    </w:rPr>
  </w:style>
  <w:style w:type="character" w:customStyle="1" w:styleId="WW8Num7z2">
    <w:name w:val="WW8Num7z2"/>
    <w:rsid w:val="00D215AE"/>
  </w:style>
  <w:style w:type="character" w:customStyle="1" w:styleId="WW8Num7z3">
    <w:name w:val="WW8Num7z3"/>
    <w:rsid w:val="00D215AE"/>
  </w:style>
  <w:style w:type="character" w:customStyle="1" w:styleId="WW8Num7z4">
    <w:name w:val="WW8Num7z4"/>
    <w:rsid w:val="00D215AE"/>
  </w:style>
  <w:style w:type="character" w:customStyle="1" w:styleId="WW8Num7z5">
    <w:name w:val="WW8Num7z5"/>
    <w:rsid w:val="00D215AE"/>
  </w:style>
  <w:style w:type="character" w:customStyle="1" w:styleId="WW8Num7z6">
    <w:name w:val="WW8Num7z6"/>
    <w:rsid w:val="00D215AE"/>
  </w:style>
  <w:style w:type="character" w:customStyle="1" w:styleId="WW8Num7z7">
    <w:name w:val="WW8Num7z7"/>
    <w:rsid w:val="00D215AE"/>
  </w:style>
  <w:style w:type="character" w:customStyle="1" w:styleId="WW8Num7z8">
    <w:name w:val="WW8Num7z8"/>
    <w:rsid w:val="00D215AE"/>
  </w:style>
  <w:style w:type="character" w:customStyle="1" w:styleId="WW8Num9z3">
    <w:name w:val="WW8Num9z3"/>
    <w:rsid w:val="00D215AE"/>
    <w:rPr>
      <w:rFonts w:ascii="Symbol" w:hAnsi="Symbol" w:cs="Symbol"/>
    </w:rPr>
  </w:style>
  <w:style w:type="character" w:customStyle="1" w:styleId="WW8Num6z2">
    <w:name w:val="WW8Num6z2"/>
    <w:rsid w:val="00D215AE"/>
  </w:style>
  <w:style w:type="character" w:customStyle="1" w:styleId="WW8Num6z4">
    <w:name w:val="WW8Num6z4"/>
    <w:rsid w:val="00D215AE"/>
  </w:style>
  <w:style w:type="character" w:customStyle="1" w:styleId="WW8Num6z5">
    <w:name w:val="WW8Num6z5"/>
    <w:rsid w:val="00D215AE"/>
  </w:style>
  <w:style w:type="character" w:customStyle="1" w:styleId="WW8Num6z6">
    <w:name w:val="WW8Num6z6"/>
    <w:rsid w:val="00D215AE"/>
  </w:style>
  <w:style w:type="character" w:customStyle="1" w:styleId="WW8Num6z7">
    <w:name w:val="WW8Num6z7"/>
    <w:rsid w:val="00D215AE"/>
  </w:style>
  <w:style w:type="character" w:customStyle="1" w:styleId="WW8Num6z8">
    <w:name w:val="WW8Num6z8"/>
    <w:rsid w:val="00D215AE"/>
  </w:style>
  <w:style w:type="character" w:customStyle="1" w:styleId="WW8Num8z3">
    <w:name w:val="WW8Num8z3"/>
    <w:rsid w:val="00D215AE"/>
  </w:style>
  <w:style w:type="character" w:customStyle="1" w:styleId="WW8Num10z1">
    <w:name w:val="WW8Num10z1"/>
    <w:rsid w:val="00D215AE"/>
    <w:rPr>
      <w:rFonts w:ascii="OpenSymbol" w:hAnsi="OpenSymbol" w:cs="Courier New"/>
    </w:rPr>
  </w:style>
  <w:style w:type="character" w:customStyle="1" w:styleId="WW8Num7z1">
    <w:name w:val="WW8Num7z1"/>
    <w:rsid w:val="00D215AE"/>
  </w:style>
  <w:style w:type="character" w:customStyle="1" w:styleId="WW8Num10z3">
    <w:name w:val="WW8Num10z3"/>
    <w:rsid w:val="00D215AE"/>
    <w:rPr>
      <w:rFonts w:ascii="Symbol" w:hAnsi="Symbol" w:cs="Symbol"/>
    </w:rPr>
  </w:style>
  <w:style w:type="character" w:customStyle="1" w:styleId="WW8Num8z2">
    <w:name w:val="WW8Num8z2"/>
    <w:rsid w:val="00D215AE"/>
  </w:style>
  <w:style w:type="character" w:customStyle="1" w:styleId="WW8Num8z4">
    <w:name w:val="WW8Num8z4"/>
    <w:rsid w:val="00D215AE"/>
  </w:style>
  <w:style w:type="character" w:customStyle="1" w:styleId="WW8Num8z5">
    <w:name w:val="WW8Num8z5"/>
    <w:rsid w:val="00D215AE"/>
  </w:style>
  <w:style w:type="character" w:customStyle="1" w:styleId="WW8Num8z6">
    <w:name w:val="WW8Num8z6"/>
    <w:rsid w:val="00D215AE"/>
  </w:style>
  <w:style w:type="character" w:customStyle="1" w:styleId="WW8Num8z7">
    <w:name w:val="WW8Num8z7"/>
    <w:rsid w:val="00D215AE"/>
  </w:style>
  <w:style w:type="character" w:customStyle="1" w:styleId="WW8Num8z8">
    <w:name w:val="WW8Num8z8"/>
    <w:rsid w:val="00D215AE"/>
  </w:style>
  <w:style w:type="character" w:customStyle="1" w:styleId="WW8Num13z3">
    <w:name w:val="WW8Num13z3"/>
    <w:rsid w:val="00D215AE"/>
    <w:rPr>
      <w:rFonts w:ascii="Symbol" w:hAnsi="Symbol" w:cs="Symbol"/>
    </w:rPr>
  </w:style>
  <w:style w:type="character" w:customStyle="1" w:styleId="WW8Num13z2">
    <w:name w:val="WW8Num13z2"/>
    <w:rsid w:val="00D215AE"/>
    <w:rPr>
      <w:rFonts w:ascii="Wingdings" w:hAnsi="Wingdings" w:cs="Wingdings"/>
      <w:sz w:val="20"/>
    </w:rPr>
  </w:style>
  <w:style w:type="character" w:customStyle="1" w:styleId="WW8Num13z4">
    <w:name w:val="WW8Num13z4"/>
    <w:rsid w:val="00D215AE"/>
  </w:style>
  <w:style w:type="character" w:customStyle="1" w:styleId="WW8Num13z5">
    <w:name w:val="WW8Num13z5"/>
    <w:rsid w:val="00D215AE"/>
  </w:style>
  <w:style w:type="character" w:customStyle="1" w:styleId="WW8Num13z6">
    <w:name w:val="WW8Num13z6"/>
    <w:rsid w:val="00D215AE"/>
  </w:style>
  <w:style w:type="character" w:customStyle="1" w:styleId="WW8Num13z7">
    <w:name w:val="WW8Num13z7"/>
    <w:rsid w:val="00D215AE"/>
  </w:style>
  <w:style w:type="character" w:customStyle="1" w:styleId="WW8Num13z8">
    <w:name w:val="WW8Num13z8"/>
    <w:rsid w:val="00D215AE"/>
  </w:style>
  <w:style w:type="character" w:customStyle="1" w:styleId="Fuentedeprrafopredeter1">
    <w:name w:val="Fuente de párrafo predeter.1"/>
    <w:rsid w:val="00D215AE"/>
  </w:style>
  <w:style w:type="character" w:customStyle="1" w:styleId="TextodegloboCar">
    <w:name w:val="Texto de globo Car"/>
    <w:rsid w:val="00D215AE"/>
    <w:rPr>
      <w:rFonts w:ascii="Tahoma" w:hAnsi="Tahoma" w:cs="Tahoma"/>
      <w:sz w:val="16"/>
      <w:szCs w:val="16"/>
    </w:rPr>
  </w:style>
  <w:style w:type="character" w:customStyle="1" w:styleId="ListLabel1">
    <w:name w:val="ListLabel 1"/>
    <w:rsid w:val="00D215AE"/>
    <w:rPr>
      <w:rFonts w:cs="Courier New"/>
    </w:rPr>
  </w:style>
  <w:style w:type="character" w:customStyle="1" w:styleId="ListLabel2">
    <w:name w:val="ListLabel 2"/>
    <w:rsid w:val="00D215AE"/>
    <w:rPr>
      <w:b/>
    </w:rPr>
  </w:style>
  <w:style w:type="character" w:customStyle="1" w:styleId="ListLabel3">
    <w:name w:val="ListLabel 3"/>
    <w:rsid w:val="00D215AE"/>
    <w:rPr>
      <w:sz w:val="20"/>
    </w:rPr>
  </w:style>
  <w:style w:type="character" w:customStyle="1" w:styleId="ListLabel4">
    <w:name w:val="ListLabel 4"/>
    <w:rsid w:val="00D215AE"/>
    <w:rPr>
      <w:rFonts w:cs="Arial"/>
      <w:b w:val="0"/>
      <w:i w:val="0"/>
      <w:sz w:val="24"/>
    </w:rPr>
  </w:style>
  <w:style w:type="character" w:customStyle="1" w:styleId="WW-Fuentedeprrafopredeter">
    <w:name w:val="WW-Fuente de párrafo predeter."/>
    <w:rsid w:val="00D215AE"/>
  </w:style>
  <w:style w:type="character" w:styleId="nfasis">
    <w:name w:val="Emphasis"/>
    <w:qFormat/>
    <w:rsid w:val="00D215AE"/>
    <w:rPr>
      <w:i/>
      <w:iCs/>
    </w:rPr>
  </w:style>
  <w:style w:type="character" w:customStyle="1" w:styleId="BulletSymbols">
    <w:name w:val="Bullet Symbols"/>
    <w:rsid w:val="00D215AE"/>
    <w:rPr>
      <w:rFonts w:ascii="OpenSymbol" w:eastAsia="OpenSymbol" w:hAnsi="OpenSymbol" w:cs="OpenSymbol"/>
      <w:b w:val="0"/>
      <w:bCs w:val="0"/>
      <w:i w:val="0"/>
      <w:iCs w:val="0"/>
      <w:spacing w:val="-2"/>
      <w:sz w:val="22"/>
      <w:szCs w:val="22"/>
    </w:rPr>
  </w:style>
  <w:style w:type="character" w:customStyle="1" w:styleId="WW8Num15z1">
    <w:name w:val="WW8Num15z1"/>
    <w:rsid w:val="00D215AE"/>
    <w:rPr>
      <w:rFonts w:ascii="Courier New" w:hAnsi="Courier New" w:cs="Courier New"/>
    </w:rPr>
  </w:style>
  <w:style w:type="character" w:customStyle="1" w:styleId="WW8Num15z2">
    <w:name w:val="WW8Num15z2"/>
    <w:rsid w:val="00D215AE"/>
    <w:rPr>
      <w:rFonts w:ascii="Wingdings" w:hAnsi="Wingdings" w:cs="Wingdings"/>
      <w:sz w:val="20"/>
    </w:rPr>
  </w:style>
  <w:style w:type="character" w:customStyle="1" w:styleId="WW8Num15z3">
    <w:name w:val="WW8Num15z3"/>
    <w:rsid w:val="00D215AE"/>
    <w:rPr>
      <w:rFonts w:ascii="Symbol" w:hAnsi="Symbol" w:cs="Symbol"/>
    </w:rPr>
  </w:style>
  <w:style w:type="character" w:customStyle="1" w:styleId="WW8Num15z4">
    <w:name w:val="WW8Num15z4"/>
    <w:rsid w:val="00D215AE"/>
  </w:style>
  <w:style w:type="character" w:customStyle="1" w:styleId="WW8Num15z5">
    <w:name w:val="WW8Num15z5"/>
    <w:rsid w:val="00D215AE"/>
  </w:style>
  <w:style w:type="character" w:customStyle="1" w:styleId="WW8Num15z6">
    <w:name w:val="WW8Num15z6"/>
    <w:rsid w:val="00D215AE"/>
  </w:style>
  <w:style w:type="character" w:customStyle="1" w:styleId="WW8Num15z7">
    <w:name w:val="WW8Num15z7"/>
    <w:rsid w:val="00D215AE"/>
  </w:style>
  <w:style w:type="character" w:customStyle="1" w:styleId="WW8Num15z8">
    <w:name w:val="WW8Num15z8"/>
    <w:rsid w:val="00D215AE"/>
  </w:style>
  <w:style w:type="character" w:customStyle="1" w:styleId="ListLabel5">
    <w:name w:val="ListLabel 5"/>
    <w:rsid w:val="00D215AE"/>
    <w:rPr>
      <w:lang w:val="es-ES"/>
    </w:rPr>
  </w:style>
  <w:style w:type="character" w:customStyle="1" w:styleId="ListLabel6">
    <w:name w:val="ListLabel 6"/>
    <w:rsid w:val="00D215AE"/>
    <w:rPr>
      <w:rFonts w:cs="Wingdings"/>
      <w:sz w:val="22"/>
      <w:szCs w:val="22"/>
      <w:lang w:val="es-ES"/>
    </w:rPr>
  </w:style>
  <w:style w:type="character" w:customStyle="1" w:styleId="ListLabel7">
    <w:name w:val="ListLabel 7"/>
    <w:rsid w:val="00D215AE"/>
    <w:rPr>
      <w:rFonts w:cs="Wingdings"/>
      <w:sz w:val="24"/>
      <w:szCs w:val="24"/>
      <w:lang w:val="es-ES"/>
    </w:rPr>
  </w:style>
  <w:style w:type="character" w:customStyle="1" w:styleId="ListLabel8">
    <w:name w:val="ListLabel 8"/>
    <w:rsid w:val="00D215AE"/>
    <w:rPr>
      <w:rFonts w:cs="Arial"/>
    </w:rPr>
  </w:style>
  <w:style w:type="character" w:customStyle="1" w:styleId="ListLabel9">
    <w:name w:val="ListLabel 9"/>
    <w:rsid w:val="00D215AE"/>
    <w:rPr>
      <w:rFonts w:cs="Symbol"/>
      <w:color w:val="FF3333"/>
      <w:sz w:val="22"/>
      <w:szCs w:val="22"/>
      <w:lang w:val="es-ES"/>
    </w:rPr>
  </w:style>
  <w:style w:type="character" w:customStyle="1" w:styleId="ListLabel10">
    <w:name w:val="ListLabel 10"/>
    <w:rsid w:val="00D215AE"/>
    <w:rPr>
      <w:rFonts w:cs="Symbol"/>
      <w:sz w:val="22"/>
      <w:szCs w:val="22"/>
      <w:lang w:val="es-CR"/>
    </w:rPr>
  </w:style>
  <w:style w:type="character" w:customStyle="1" w:styleId="ListLabel11">
    <w:name w:val="ListLabel 11"/>
    <w:rsid w:val="00D215AE"/>
    <w:rPr>
      <w:rFonts w:cs="Symbol"/>
    </w:rPr>
  </w:style>
  <w:style w:type="character" w:customStyle="1" w:styleId="ListLabel12">
    <w:name w:val="ListLabel 12"/>
    <w:rsid w:val="00D215AE"/>
    <w:rPr>
      <w:rFonts w:eastAsia="Times New Roman" w:cs="Symbol"/>
      <w:b w:val="0"/>
      <w:bCs/>
      <w:sz w:val="22"/>
      <w:szCs w:val="22"/>
      <w:lang w:eastAsia="ar-SA" w:bidi="ar-SA"/>
    </w:rPr>
  </w:style>
  <w:style w:type="character" w:customStyle="1" w:styleId="ListLabel13">
    <w:name w:val="ListLabel 13"/>
    <w:rsid w:val="00D215AE"/>
    <w:rPr>
      <w:rFonts w:cs="Symbol"/>
      <w:sz w:val="22"/>
      <w:szCs w:val="22"/>
    </w:rPr>
  </w:style>
  <w:style w:type="character" w:customStyle="1" w:styleId="ListLabel14">
    <w:name w:val="ListLabel 14"/>
    <w:rsid w:val="00D215AE"/>
    <w:rPr>
      <w:rFonts w:cs="Symbol"/>
      <w:sz w:val="22"/>
      <w:szCs w:val="22"/>
      <w:lang w:val="es-CR" w:eastAsia="ar-SA" w:bidi="ar-SA"/>
    </w:rPr>
  </w:style>
  <w:style w:type="character" w:customStyle="1" w:styleId="ListLabel15">
    <w:name w:val="ListLabel 15"/>
    <w:rsid w:val="00D215AE"/>
    <w:rPr>
      <w:rFonts w:cs="Wingdings"/>
      <w:sz w:val="22"/>
      <w:szCs w:val="22"/>
      <w:lang w:val="es-ES" w:eastAsia="ar-SA" w:bidi="ar-SA"/>
    </w:rPr>
  </w:style>
  <w:style w:type="character" w:customStyle="1" w:styleId="ListLabel16">
    <w:name w:val="ListLabel 16"/>
    <w:rsid w:val="00D215AE"/>
    <w:rPr>
      <w:rFonts w:cs="Symbol"/>
      <w:sz w:val="22"/>
      <w:szCs w:val="22"/>
      <w:lang w:eastAsia="ar-SA" w:bidi="ar-SA"/>
    </w:rPr>
  </w:style>
  <w:style w:type="character" w:customStyle="1" w:styleId="ListLabel17">
    <w:name w:val="ListLabel 17"/>
    <w:rsid w:val="00D215AE"/>
    <w:rPr>
      <w:rFonts w:cs="Symbol"/>
      <w:sz w:val="22"/>
      <w:szCs w:val="22"/>
      <w:lang w:val="es-ES" w:eastAsia="ar-SA" w:bidi="ar-SA"/>
    </w:rPr>
  </w:style>
  <w:style w:type="character" w:customStyle="1" w:styleId="ListLabel18">
    <w:name w:val="ListLabel 18"/>
    <w:rsid w:val="00D215AE"/>
    <w:rPr>
      <w:rFonts w:cs="OpenSymbol"/>
    </w:rPr>
  </w:style>
  <w:style w:type="character" w:customStyle="1" w:styleId="ListLabel19">
    <w:name w:val="ListLabel 19"/>
    <w:rsid w:val="00D215AE"/>
    <w:rPr>
      <w:rFonts w:cs="Wingdings"/>
      <w:b w:val="0"/>
      <w:bCs w:val="0"/>
      <w:i w:val="0"/>
      <w:iCs w:val="0"/>
      <w:spacing w:val="-2"/>
      <w:kern w:val="3"/>
      <w:sz w:val="22"/>
      <w:szCs w:val="22"/>
      <w:lang w:val="es-CR" w:eastAsia="ar-SA" w:bidi="ar-SA"/>
    </w:rPr>
  </w:style>
  <w:style w:type="character" w:customStyle="1" w:styleId="ListLabel20">
    <w:name w:val="ListLabel 20"/>
    <w:rsid w:val="00D215AE"/>
    <w:rPr>
      <w:rFonts w:cs="Courier New"/>
    </w:rPr>
  </w:style>
  <w:style w:type="character" w:customStyle="1" w:styleId="ListLabel21">
    <w:name w:val="ListLabel 21"/>
    <w:rsid w:val="00D215AE"/>
    <w:rPr>
      <w:rFonts w:cs="OpenSymbol"/>
      <w:b w:val="0"/>
      <w:bCs w:val="0"/>
      <w:i w:val="0"/>
      <w:iCs w:val="0"/>
      <w:spacing w:val="-2"/>
      <w:sz w:val="22"/>
      <w:szCs w:val="22"/>
      <w:lang w:val="es-CR"/>
    </w:rPr>
  </w:style>
  <w:style w:type="character" w:customStyle="1" w:styleId="ListLabel22">
    <w:name w:val="ListLabel 22"/>
    <w:rsid w:val="00D215AE"/>
    <w:rPr>
      <w:rFonts w:cs="OpenSymbol"/>
      <w:b w:val="0"/>
      <w:bCs w:val="0"/>
      <w:i w:val="0"/>
      <w:iCs w:val="0"/>
      <w:spacing w:val="-2"/>
      <w:sz w:val="22"/>
      <w:szCs w:val="22"/>
    </w:rPr>
  </w:style>
  <w:style w:type="character" w:customStyle="1" w:styleId="ListLabel23">
    <w:name w:val="ListLabel 23"/>
    <w:rsid w:val="00D215AE"/>
    <w:rPr>
      <w:rFonts w:eastAsia="Andale Sans UI" w:cs="Symbol"/>
      <w:color w:val="00000A"/>
      <w:spacing w:val="-5"/>
      <w:sz w:val="26"/>
      <w:szCs w:val="26"/>
      <w:lang w:val="es-ES" w:eastAsia="es-ES" w:bidi="es-ES"/>
    </w:rPr>
  </w:style>
  <w:style w:type="character" w:customStyle="1" w:styleId="ListLabel24">
    <w:name w:val="ListLabel 24"/>
    <w:rsid w:val="00D215AE"/>
    <w:rPr>
      <w:rFonts w:cs="OpenSymbol,"/>
      <w:color w:val="00000A"/>
      <w:sz w:val="26"/>
      <w:szCs w:val="26"/>
      <w:lang w:val="es-ES"/>
    </w:rPr>
  </w:style>
  <w:style w:type="character" w:customStyle="1" w:styleId="ListLabel25">
    <w:name w:val="ListLabel 25"/>
    <w:rsid w:val="00D215AE"/>
    <w:rPr>
      <w:color w:val="00000A"/>
    </w:rPr>
  </w:style>
  <w:style w:type="paragraph" w:customStyle="1" w:styleId="Predeterminado">
    <w:name w:val="Predeterminado"/>
    <w:rsid w:val="00D215AE"/>
    <w:pPr>
      <w:widowControl w:val="0"/>
      <w:autoSpaceDE w:val="0"/>
      <w:autoSpaceDN w:val="0"/>
      <w:spacing w:before="0" w:beforeAutospacing="0" w:after="0" w:afterAutospacing="0" w:line="240" w:lineRule="auto"/>
      <w:jc w:val="left"/>
    </w:pPr>
    <w:rPr>
      <w:rFonts w:ascii="Times New Roman" w:eastAsia="Calibri" w:hAnsi="Times New Roman" w:cs="Times New Roman"/>
      <w:sz w:val="24"/>
      <w:szCs w:val="24"/>
    </w:rPr>
  </w:style>
  <w:style w:type="paragraph" w:styleId="Sangradetextonormal">
    <w:name w:val="Body Text Indent"/>
    <w:basedOn w:val="Normal"/>
    <w:link w:val="SangradetextonormalCar"/>
    <w:rsid w:val="00D215AE"/>
    <w:pPr>
      <w:widowControl w:val="0"/>
      <w:suppressAutoHyphens/>
      <w:autoSpaceDN w:val="0"/>
      <w:spacing w:before="0" w:beforeAutospacing="0" w:after="120" w:afterAutospacing="0" w:line="240" w:lineRule="auto"/>
      <w:ind w:left="283"/>
      <w:jc w:val="left"/>
    </w:pPr>
    <w:rPr>
      <w:rFonts w:ascii="Thorndale" w:eastAsia="Andale Sans UI" w:hAnsi="Thorndale" w:cs="Thorndale"/>
      <w:kern w:val="3"/>
      <w:sz w:val="24"/>
      <w:szCs w:val="24"/>
      <w:lang w:eastAsia="ar-SA"/>
    </w:rPr>
  </w:style>
  <w:style w:type="character" w:customStyle="1" w:styleId="SangradetextonormalCar">
    <w:name w:val="Sangría de texto normal Car"/>
    <w:basedOn w:val="Fuentedeprrafopredeter"/>
    <w:link w:val="Sangradetextonormal"/>
    <w:rsid w:val="00D215AE"/>
    <w:rPr>
      <w:rFonts w:ascii="Thorndale" w:eastAsia="Andale Sans UI" w:hAnsi="Thorndale" w:cs="Thorndale"/>
      <w:kern w:val="3"/>
      <w:sz w:val="24"/>
      <w:szCs w:val="24"/>
      <w:lang w:eastAsia="ar-SA"/>
    </w:rPr>
  </w:style>
  <w:style w:type="paragraph" w:styleId="Textoindependiente">
    <w:name w:val="Body Text"/>
    <w:basedOn w:val="Normal"/>
    <w:link w:val="TextoindependienteCar"/>
    <w:rsid w:val="00D215AE"/>
    <w:pPr>
      <w:widowControl w:val="0"/>
      <w:suppressAutoHyphens/>
      <w:autoSpaceDN w:val="0"/>
      <w:spacing w:before="0" w:beforeAutospacing="0" w:after="120" w:afterAutospacing="0" w:line="240" w:lineRule="auto"/>
      <w:jc w:val="left"/>
      <w:textAlignment w:val="baseline"/>
    </w:pPr>
    <w:rPr>
      <w:rFonts w:ascii="Times New Roman" w:eastAsia="Times New Roman" w:hAnsi="Times New Roman" w:cs="Times New Roman"/>
      <w:kern w:val="3"/>
      <w:sz w:val="20"/>
      <w:szCs w:val="20"/>
      <w:lang w:eastAsia="es-CR"/>
    </w:rPr>
  </w:style>
  <w:style w:type="character" w:customStyle="1" w:styleId="TextoindependienteCar">
    <w:name w:val="Texto independiente Car"/>
    <w:basedOn w:val="Fuentedeprrafopredeter"/>
    <w:link w:val="Textoindependiente"/>
    <w:rsid w:val="00D215AE"/>
    <w:rPr>
      <w:rFonts w:ascii="Times New Roman" w:eastAsia="Times New Roman" w:hAnsi="Times New Roman" w:cs="Times New Roman"/>
      <w:kern w:val="3"/>
      <w:sz w:val="20"/>
      <w:szCs w:val="20"/>
      <w:lang w:eastAsia="es-CR"/>
    </w:rPr>
  </w:style>
  <w:style w:type="paragraph" w:customStyle="1" w:styleId="Encabezadodelatabla">
    <w:name w:val="Encabezado de la tabla"/>
    <w:basedOn w:val="Normal"/>
    <w:rsid w:val="00D215AE"/>
    <w:pPr>
      <w:suppressLineNumbers/>
      <w:suppressAutoHyphens/>
      <w:overflowPunct w:val="0"/>
      <w:autoSpaceDE w:val="0"/>
      <w:autoSpaceDN w:val="0"/>
      <w:spacing w:before="0" w:beforeAutospacing="0" w:after="0" w:afterAutospacing="0" w:line="240" w:lineRule="auto"/>
      <w:jc w:val="center"/>
      <w:textAlignment w:val="baseline"/>
    </w:pPr>
    <w:rPr>
      <w:rFonts w:ascii="Times New Roman" w:eastAsia="Times New Roman" w:hAnsi="Times New Roman" w:cs="Times New Roman"/>
      <w:b/>
      <w:sz w:val="24"/>
      <w:szCs w:val="20"/>
      <w:lang w:val="es-ES" w:eastAsia="ar-SA"/>
    </w:rPr>
  </w:style>
  <w:style w:type="numbering" w:customStyle="1" w:styleId="WWNum1">
    <w:name w:val="WWNum1"/>
    <w:basedOn w:val="Sinlista"/>
    <w:rsid w:val="00D215AE"/>
    <w:pPr>
      <w:numPr>
        <w:numId w:val="2"/>
      </w:numPr>
    </w:pPr>
  </w:style>
  <w:style w:type="numbering" w:customStyle="1" w:styleId="WWNum2">
    <w:name w:val="WWNum2"/>
    <w:basedOn w:val="Sinlista"/>
    <w:rsid w:val="00D215AE"/>
    <w:pPr>
      <w:numPr>
        <w:numId w:val="3"/>
      </w:numPr>
    </w:pPr>
  </w:style>
  <w:style w:type="numbering" w:customStyle="1" w:styleId="WWNum3">
    <w:name w:val="WWNum3"/>
    <w:basedOn w:val="Sinlista"/>
    <w:rsid w:val="00D215AE"/>
    <w:pPr>
      <w:numPr>
        <w:numId w:val="4"/>
      </w:numPr>
    </w:pPr>
  </w:style>
  <w:style w:type="numbering" w:customStyle="1" w:styleId="WWNum4">
    <w:name w:val="WWNum4"/>
    <w:basedOn w:val="Sinlista"/>
    <w:rsid w:val="00D215AE"/>
    <w:pPr>
      <w:numPr>
        <w:numId w:val="5"/>
      </w:numPr>
    </w:pPr>
  </w:style>
  <w:style w:type="numbering" w:customStyle="1" w:styleId="WWNum5">
    <w:name w:val="WWNum5"/>
    <w:basedOn w:val="Sinlista"/>
    <w:rsid w:val="00D215AE"/>
    <w:pPr>
      <w:numPr>
        <w:numId w:val="6"/>
      </w:numPr>
    </w:pPr>
  </w:style>
  <w:style w:type="numbering" w:customStyle="1" w:styleId="WWNum6">
    <w:name w:val="WWNum6"/>
    <w:basedOn w:val="Sinlista"/>
    <w:rsid w:val="00D215AE"/>
    <w:pPr>
      <w:numPr>
        <w:numId w:val="7"/>
      </w:numPr>
    </w:pPr>
  </w:style>
  <w:style w:type="numbering" w:customStyle="1" w:styleId="WWNum7">
    <w:name w:val="WWNum7"/>
    <w:basedOn w:val="Sinlista"/>
    <w:rsid w:val="00D215AE"/>
    <w:pPr>
      <w:numPr>
        <w:numId w:val="8"/>
      </w:numPr>
    </w:pPr>
  </w:style>
  <w:style w:type="numbering" w:customStyle="1" w:styleId="WWNum8">
    <w:name w:val="WWNum8"/>
    <w:basedOn w:val="Sinlista"/>
    <w:rsid w:val="00D215AE"/>
    <w:pPr>
      <w:numPr>
        <w:numId w:val="9"/>
      </w:numPr>
    </w:pPr>
  </w:style>
  <w:style w:type="numbering" w:customStyle="1" w:styleId="WWNum9">
    <w:name w:val="WWNum9"/>
    <w:basedOn w:val="Sinlista"/>
    <w:rsid w:val="00D215AE"/>
    <w:pPr>
      <w:numPr>
        <w:numId w:val="10"/>
      </w:numPr>
    </w:pPr>
  </w:style>
  <w:style w:type="numbering" w:customStyle="1" w:styleId="WWNum10">
    <w:name w:val="WWNum10"/>
    <w:basedOn w:val="Sinlista"/>
    <w:rsid w:val="00D215AE"/>
    <w:pPr>
      <w:numPr>
        <w:numId w:val="11"/>
      </w:numPr>
    </w:pPr>
  </w:style>
  <w:style w:type="numbering" w:customStyle="1" w:styleId="WWNum11">
    <w:name w:val="WWNum11"/>
    <w:basedOn w:val="Sinlista"/>
    <w:rsid w:val="00D215AE"/>
    <w:pPr>
      <w:numPr>
        <w:numId w:val="12"/>
      </w:numPr>
    </w:pPr>
  </w:style>
  <w:style w:type="numbering" w:customStyle="1" w:styleId="WWNum12">
    <w:name w:val="WWNum12"/>
    <w:basedOn w:val="Sinlista"/>
    <w:rsid w:val="00D215AE"/>
    <w:pPr>
      <w:numPr>
        <w:numId w:val="13"/>
      </w:numPr>
    </w:pPr>
  </w:style>
  <w:style w:type="numbering" w:customStyle="1" w:styleId="WWNum13">
    <w:name w:val="WWNum13"/>
    <w:basedOn w:val="Sinlista"/>
    <w:rsid w:val="00D215AE"/>
    <w:pPr>
      <w:numPr>
        <w:numId w:val="14"/>
      </w:numPr>
    </w:pPr>
  </w:style>
  <w:style w:type="numbering" w:customStyle="1" w:styleId="WWNum14">
    <w:name w:val="WWNum14"/>
    <w:basedOn w:val="Sinlista"/>
    <w:rsid w:val="00D215AE"/>
    <w:pPr>
      <w:numPr>
        <w:numId w:val="15"/>
      </w:numPr>
    </w:pPr>
  </w:style>
  <w:style w:type="numbering" w:customStyle="1" w:styleId="WWNum15">
    <w:name w:val="WWNum15"/>
    <w:basedOn w:val="Sinlista"/>
    <w:rsid w:val="00D215AE"/>
    <w:pPr>
      <w:numPr>
        <w:numId w:val="16"/>
      </w:numPr>
    </w:pPr>
  </w:style>
  <w:style w:type="numbering" w:customStyle="1" w:styleId="WWNum16">
    <w:name w:val="WWNum16"/>
    <w:basedOn w:val="Sinlista"/>
    <w:rsid w:val="00D215AE"/>
    <w:pPr>
      <w:numPr>
        <w:numId w:val="17"/>
      </w:numPr>
    </w:pPr>
  </w:style>
  <w:style w:type="numbering" w:customStyle="1" w:styleId="WWNum17">
    <w:name w:val="WWNum17"/>
    <w:basedOn w:val="Sinlista"/>
    <w:rsid w:val="00D215AE"/>
    <w:pPr>
      <w:numPr>
        <w:numId w:val="18"/>
      </w:numPr>
    </w:pPr>
  </w:style>
  <w:style w:type="numbering" w:customStyle="1" w:styleId="WWNum18">
    <w:name w:val="WWNum18"/>
    <w:basedOn w:val="Sinlista"/>
    <w:rsid w:val="00D215AE"/>
    <w:pPr>
      <w:numPr>
        <w:numId w:val="19"/>
      </w:numPr>
    </w:pPr>
  </w:style>
  <w:style w:type="numbering" w:customStyle="1" w:styleId="WWNum19">
    <w:name w:val="WWNum19"/>
    <w:basedOn w:val="Sinlista"/>
    <w:rsid w:val="00D215AE"/>
    <w:pPr>
      <w:numPr>
        <w:numId w:val="20"/>
      </w:numPr>
    </w:pPr>
  </w:style>
  <w:style w:type="numbering" w:customStyle="1" w:styleId="WWNum20">
    <w:name w:val="WWNum20"/>
    <w:basedOn w:val="Sinlista"/>
    <w:rsid w:val="00D215AE"/>
    <w:pPr>
      <w:numPr>
        <w:numId w:val="21"/>
      </w:numPr>
    </w:pPr>
  </w:style>
  <w:style w:type="numbering" w:customStyle="1" w:styleId="WWNum21">
    <w:name w:val="WWNum21"/>
    <w:basedOn w:val="Sinlista"/>
    <w:rsid w:val="00D215AE"/>
    <w:pPr>
      <w:numPr>
        <w:numId w:val="22"/>
      </w:numPr>
    </w:pPr>
  </w:style>
  <w:style w:type="numbering" w:customStyle="1" w:styleId="WWNum22">
    <w:name w:val="WWNum22"/>
    <w:basedOn w:val="Sinlista"/>
    <w:rsid w:val="00D215AE"/>
    <w:pPr>
      <w:numPr>
        <w:numId w:val="23"/>
      </w:numPr>
    </w:pPr>
  </w:style>
  <w:style w:type="numbering" w:customStyle="1" w:styleId="WWNum23">
    <w:name w:val="WWNum23"/>
    <w:basedOn w:val="Sinlista"/>
    <w:rsid w:val="00D215AE"/>
    <w:pPr>
      <w:numPr>
        <w:numId w:val="24"/>
      </w:numPr>
    </w:pPr>
  </w:style>
  <w:style w:type="numbering" w:customStyle="1" w:styleId="WWNum24">
    <w:name w:val="WWNum24"/>
    <w:basedOn w:val="Sinlista"/>
    <w:rsid w:val="00D215AE"/>
    <w:pPr>
      <w:numPr>
        <w:numId w:val="25"/>
      </w:numPr>
    </w:pPr>
  </w:style>
  <w:style w:type="numbering" w:customStyle="1" w:styleId="WWNum25">
    <w:name w:val="WWNum25"/>
    <w:basedOn w:val="Sinlista"/>
    <w:rsid w:val="00D215AE"/>
    <w:pPr>
      <w:numPr>
        <w:numId w:val="26"/>
      </w:numPr>
    </w:pPr>
  </w:style>
  <w:style w:type="numbering" w:customStyle="1" w:styleId="WWNum26">
    <w:name w:val="WWNum26"/>
    <w:basedOn w:val="Sinlista"/>
    <w:rsid w:val="00D215AE"/>
    <w:pPr>
      <w:numPr>
        <w:numId w:val="27"/>
      </w:numPr>
    </w:pPr>
  </w:style>
  <w:style w:type="numbering" w:customStyle="1" w:styleId="WW8Num8">
    <w:name w:val="WW8Num8"/>
    <w:basedOn w:val="Sinlista"/>
    <w:rsid w:val="00D215AE"/>
    <w:pPr>
      <w:numPr>
        <w:numId w:val="28"/>
      </w:numPr>
    </w:pPr>
  </w:style>
  <w:style w:type="numbering" w:customStyle="1" w:styleId="WW8Num11">
    <w:name w:val="WW8Num11"/>
    <w:basedOn w:val="Sinlista"/>
    <w:rsid w:val="00D215AE"/>
    <w:pPr>
      <w:numPr>
        <w:numId w:val="29"/>
      </w:numPr>
    </w:pPr>
  </w:style>
  <w:style w:type="numbering" w:customStyle="1" w:styleId="WW8Num7">
    <w:name w:val="WW8Num7"/>
    <w:basedOn w:val="Sinlista"/>
    <w:rsid w:val="00D215AE"/>
    <w:pPr>
      <w:numPr>
        <w:numId w:val="30"/>
      </w:numPr>
    </w:pPr>
  </w:style>
  <w:style w:type="numbering" w:customStyle="1" w:styleId="WW8Num9">
    <w:name w:val="WW8Num9"/>
    <w:basedOn w:val="Sinlista"/>
    <w:rsid w:val="00D215AE"/>
    <w:pPr>
      <w:numPr>
        <w:numId w:val="31"/>
      </w:numPr>
    </w:pPr>
  </w:style>
  <w:style w:type="numbering" w:customStyle="1" w:styleId="WW8Num2">
    <w:name w:val="WW8Num2"/>
    <w:basedOn w:val="Sinlista"/>
    <w:rsid w:val="00D215AE"/>
    <w:pPr>
      <w:numPr>
        <w:numId w:val="32"/>
      </w:numPr>
    </w:pPr>
  </w:style>
  <w:style w:type="numbering" w:customStyle="1" w:styleId="WW8Num6">
    <w:name w:val="WW8Num6"/>
    <w:basedOn w:val="Sinlista"/>
    <w:rsid w:val="00D215AE"/>
    <w:pPr>
      <w:numPr>
        <w:numId w:val="33"/>
      </w:numPr>
    </w:pPr>
  </w:style>
  <w:style w:type="numbering" w:customStyle="1" w:styleId="RTFNum2">
    <w:name w:val="RTF_Num 2"/>
    <w:basedOn w:val="Sinlista"/>
    <w:rsid w:val="00D215AE"/>
    <w:pPr>
      <w:numPr>
        <w:numId w:val="34"/>
      </w:numPr>
    </w:pPr>
  </w:style>
  <w:style w:type="numbering" w:customStyle="1" w:styleId="RTFNum3">
    <w:name w:val="RTF_Num 3"/>
    <w:basedOn w:val="Sinlista"/>
    <w:rsid w:val="00D215AE"/>
    <w:pPr>
      <w:numPr>
        <w:numId w:val="35"/>
      </w:numPr>
    </w:pPr>
  </w:style>
  <w:style w:type="character" w:customStyle="1" w:styleId="Fuentedeprrafopredeter24">
    <w:name w:val="Fuente de párrafo predeter.24"/>
    <w:rsid w:val="00025A65"/>
  </w:style>
  <w:style w:type="table" w:styleId="Tablaconcuadrcula">
    <w:name w:val="Table Grid"/>
    <w:basedOn w:val="Tablanormal"/>
    <w:uiPriority w:val="39"/>
    <w:rsid w:val="008C5658"/>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Textoindependiente2">
    <w:name w:val="WW-Texto independiente 2"/>
    <w:basedOn w:val="Normal"/>
    <w:rsid w:val="00E91C37"/>
    <w:pPr>
      <w:widowControl w:val="0"/>
      <w:suppressAutoHyphens/>
      <w:spacing w:before="0" w:beforeAutospacing="0" w:after="0" w:afterAutospacing="0" w:line="480" w:lineRule="auto"/>
    </w:pPr>
    <w:rPr>
      <w:rFonts w:ascii="Book Antiqua" w:eastAsia="SimSun" w:hAnsi="Book Antiqua" w:cs="Book Antiqua"/>
      <w:kern w:val="1"/>
      <w:sz w:val="28"/>
      <w:szCs w:val="24"/>
      <w:lang w:val="es-ES" w:eastAsia="hi-IN" w:bidi="hi-IN"/>
    </w:rPr>
  </w:style>
  <w:style w:type="paragraph" w:customStyle="1" w:styleId="WW-Predeterminado">
    <w:name w:val="WW-Predeterminado"/>
    <w:rsid w:val="00E91C37"/>
    <w:pPr>
      <w:widowControl w:val="0"/>
      <w:suppressAutoHyphens/>
      <w:autoSpaceDE w:val="0"/>
      <w:spacing w:before="0" w:beforeAutospacing="0" w:after="0" w:afterAutospacing="0" w:line="240" w:lineRule="auto"/>
      <w:jc w:val="left"/>
    </w:pPr>
    <w:rPr>
      <w:rFonts w:ascii="Times New Roman" w:eastAsia="Arial" w:hAnsi="Times New Roman" w:cs="Times New Roman"/>
      <w:sz w:val="24"/>
      <w:szCs w:val="24"/>
      <w:lang w:eastAsia="ar-SA"/>
    </w:rPr>
  </w:style>
  <w:style w:type="paragraph" w:styleId="Textodeglobo">
    <w:name w:val="Balloon Text"/>
    <w:basedOn w:val="Normal"/>
    <w:link w:val="TextodegloboCar1"/>
    <w:uiPriority w:val="99"/>
    <w:semiHidden/>
    <w:unhideWhenUsed/>
    <w:rsid w:val="00A87E31"/>
    <w:pPr>
      <w:spacing w:before="0" w:after="0" w:line="240" w:lineRule="auto"/>
    </w:pPr>
    <w:rPr>
      <w:rFonts w:ascii="Segoe UI" w:hAnsi="Segoe UI" w:cs="Segoe UI"/>
      <w:sz w:val="18"/>
      <w:szCs w:val="18"/>
    </w:rPr>
  </w:style>
  <w:style w:type="character" w:customStyle="1" w:styleId="TextodegloboCar1">
    <w:name w:val="Texto de globo Car1"/>
    <w:basedOn w:val="Fuentedeprrafopredeter"/>
    <w:link w:val="Textodeglobo"/>
    <w:uiPriority w:val="99"/>
    <w:semiHidden/>
    <w:rsid w:val="00A87E3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25857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theme" Target="theme/theme1.xml"/><Relationship Id="rId16" Type="http://schemas.openxmlformats.org/officeDocument/2006/relationships/image" Target="media/image9.emf"/><Relationship Id="rId11" Type="http://schemas.openxmlformats.org/officeDocument/2006/relationships/image" Target="media/image4.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customXml" Target="../customXml/item2.xml"/><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fontTable" Target="fontTable.xml"/><Relationship Id="rId9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3.w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customXml" Target="../customXml/item4.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jpeg"/><Relationship Id="rId87" Type="http://schemas.openxmlformats.org/officeDocument/2006/relationships/footer" Target="footer1.xml"/><Relationship Id="rId61" Type="http://schemas.openxmlformats.org/officeDocument/2006/relationships/image" Target="media/image53.emf"/><Relationship Id="rId82" Type="http://schemas.openxmlformats.org/officeDocument/2006/relationships/image" Target="media/image74.jpeg"/><Relationship Id="rId19"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647" b="1" i="0" u="none" strike="noStrike" baseline="0">
                <a:solidFill>
                  <a:srgbClr val="000000"/>
                </a:solidFill>
                <a:latin typeface="Arial"/>
                <a:ea typeface="Arial"/>
                <a:cs typeface="Arial"/>
              </a:defRPr>
            </a:pPr>
            <a:r>
              <a:rPr lang="es-CR"/>
              <a:t>INSTITUTO COSTARRICENSE DE ACUEDUCTOS Y ALCANTARILLADOS
 PERIODOS:  Diciembre  2017  y  2018
 RAZÓN DE LIQUIDEZ</a:t>
            </a:r>
          </a:p>
        </c:rich>
      </c:tx>
      <c:layout>
        <c:manualLayout>
          <c:xMode val="edge"/>
          <c:yMode val="edge"/>
          <c:x val="0.18614194567142522"/>
          <c:y val="1.6284896206156051E-2"/>
        </c:manualLayout>
      </c:layout>
      <c:overlay val="0"/>
      <c:spPr>
        <a:noFill/>
        <a:ln w="20533">
          <a:noFill/>
        </a:ln>
      </c:spPr>
    </c:title>
    <c:autoTitleDeleted val="0"/>
    <c:view3D>
      <c:rotX val="10"/>
      <c:hPercent val="100"/>
      <c:rotY val="20"/>
      <c:depthPercent val="90"/>
      <c:rAngAx val="0"/>
    </c:view3D>
    <c:floor>
      <c:thickness val="0"/>
      <c:spPr>
        <a:gradFill rotWithShape="0">
          <a:gsLst>
            <a:gs pos="0">
              <a:srgbClr val="993300"/>
            </a:gs>
            <a:gs pos="100000">
              <a:srgbClr val="993300">
                <a:gamma/>
                <a:tint val="22745"/>
                <a:invGamma/>
              </a:srgbClr>
            </a:gs>
          </a:gsLst>
          <a:path path="rect">
            <a:fillToRect l="50000" t="50000" r="50000" b="50000"/>
          </a:path>
        </a:gradFill>
        <a:ln w="38100">
          <a:solidFill>
            <a:srgbClr val="993300"/>
          </a:solidFill>
          <a:prstDash val="solid"/>
        </a:ln>
      </c:spPr>
    </c:floor>
    <c:sideWall>
      <c:thickness val="0"/>
      <c:spPr>
        <a:gradFill rotWithShape="0">
          <a:gsLst>
            <a:gs pos="0">
              <a:srgbClr val="FFCC99"/>
            </a:gs>
            <a:gs pos="100000">
              <a:srgbClr val="CCFFFF"/>
            </a:gs>
          </a:gsLst>
          <a:lin ang="5400000" scaled="1"/>
        </a:gradFill>
        <a:ln w="38100">
          <a:solidFill>
            <a:srgbClr val="993300"/>
          </a:solidFill>
          <a:prstDash val="solid"/>
        </a:ln>
      </c:spPr>
    </c:sideWall>
    <c:backWall>
      <c:thickness val="0"/>
      <c:spPr>
        <a:gradFill rotWithShape="0">
          <a:gsLst>
            <a:gs pos="0">
              <a:srgbClr val="FFCC99"/>
            </a:gs>
            <a:gs pos="100000">
              <a:srgbClr val="CCFFFF"/>
            </a:gs>
          </a:gsLst>
          <a:lin ang="5400000" scaled="1"/>
        </a:gradFill>
        <a:ln w="38100">
          <a:solidFill>
            <a:srgbClr val="993300"/>
          </a:solidFill>
          <a:prstDash val="solid"/>
        </a:ln>
      </c:spPr>
    </c:backWall>
    <c:plotArea>
      <c:layout>
        <c:manualLayout>
          <c:layoutTarget val="inner"/>
          <c:xMode val="edge"/>
          <c:yMode val="edge"/>
          <c:x val="9.3575514216101482E-2"/>
          <c:y val="0.1467783239802207"/>
          <c:w val="0.86998860202235662"/>
          <c:h val="0.68944620872667162"/>
        </c:manualLayout>
      </c:layout>
      <c:line3DChart>
        <c:grouping val="standard"/>
        <c:varyColors val="1"/>
        <c:ser>
          <c:idx val="0"/>
          <c:order val="0"/>
          <c:spPr>
            <a:ln w="12833">
              <a:solidFill>
                <a:srgbClr val="000000"/>
              </a:solidFill>
              <a:prstDash val="solid"/>
            </a:ln>
          </c:spPr>
          <c:dPt>
            <c:idx val="0"/>
            <c:bubble3D val="0"/>
            <c:spPr>
              <a:solidFill>
                <a:srgbClr val="9999FF"/>
              </a:solidFill>
            </c:spPr>
            <c:extLst>
              <c:ext xmlns:c16="http://schemas.microsoft.com/office/drawing/2014/chart" uri="{C3380CC4-5D6E-409C-BE32-E72D297353CC}">
                <c16:uniqueId val="{00000000-84AD-4D2B-8EED-78DDF34E1D22}"/>
              </c:ext>
            </c:extLst>
          </c:dPt>
          <c:dPt>
            <c:idx val="1"/>
            <c:bubble3D val="0"/>
            <c:spPr>
              <a:solidFill>
                <a:srgbClr val="548235"/>
              </a:solidFill>
            </c:spPr>
            <c:extLst>
              <c:ext xmlns:c16="http://schemas.microsoft.com/office/drawing/2014/chart" uri="{C3380CC4-5D6E-409C-BE32-E72D297353CC}">
                <c16:uniqueId val="{00000001-84AD-4D2B-8EED-78DDF34E1D22}"/>
              </c:ext>
            </c:extLst>
          </c:dPt>
          <c:dPt>
            <c:idx val="2"/>
            <c:bubble3D val="0"/>
            <c:spPr>
              <a:solidFill>
                <a:srgbClr val="00B050"/>
              </a:solidFill>
            </c:spPr>
            <c:extLst>
              <c:ext xmlns:c16="http://schemas.microsoft.com/office/drawing/2014/chart" uri="{C3380CC4-5D6E-409C-BE32-E72D297353CC}">
                <c16:uniqueId val="{00000002-84AD-4D2B-8EED-78DDF34E1D22}"/>
              </c:ext>
            </c:extLst>
          </c:dPt>
          <c:dPt>
            <c:idx val="3"/>
            <c:bubble3D val="0"/>
            <c:spPr>
              <a:solidFill>
                <a:srgbClr val="FF0000"/>
              </a:solidFill>
            </c:spPr>
            <c:extLst>
              <c:ext xmlns:c16="http://schemas.microsoft.com/office/drawing/2014/chart" uri="{C3380CC4-5D6E-409C-BE32-E72D297353CC}">
                <c16:uniqueId val="{00000003-84AD-4D2B-8EED-78DDF34E1D22}"/>
              </c:ext>
            </c:extLst>
          </c:dPt>
          <c:dPt>
            <c:idx val="4"/>
            <c:bubble3D val="0"/>
            <c:spPr>
              <a:solidFill>
                <a:srgbClr val="3B0EE0"/>
              </a:solidFill>
            </c:spPr>
            <c:extLst>
              <c:ext xmlns:c16="http://schemas.microsoft.com/office/drawing/2014/chart" uri="{C3380CC4-5D6E-409C-BE32-E72D297353CC}">
                <c16:uniqueId val="{00000004-84AD-4D2B-8EED-78DDF34E1D22}"/>
              </c:ext>
            </c:extLst>
          </c:dPt>
          <c:cat>
            <c:strRef>
              <c:f>'INDICAD-VALORES-DICIE-2017-2018'!$F$6:$J$6</c:f>
              <c:strCache>
                <c:ptCount val="5"/>
                <c:pt idx="0">
                  <c:v>IV Trim-17
</c:v>
                </c:pt>
                <c:pt idx="1">
                  <c:v>I Trim-18
</c:v>
                </c:pt>
                <c:pt idx="2">
                  <c:v>II Trim-18
</c:v>
                </c:pt>
                <c:pt idx="3">
                  <c:v>III Trim-18
</c:v>
                </c:pt>
                <c:pt idx="4">
                  <c:v>IV Trim-18
</c:v>
                </c:pt>
              </c:strCache>
            </c:strRef>
          </c:cat>
          <c:val>
            <c:numRef>
              <c:f>'INDICAD-VALORES-DICIE-2017-2018'!$F$7:$J$7</c:f>
              <c:numCache>
                <c:formatCode>0.00</c:formatCode>
                <c:ptCount val="5"/>
                <c:pt idx="0">
                  <c:v>3.7573177853768485</c:v>
                </c:pt>
                <c:pt idx="1">
                  <c:v>4.372178928457279</c:v>
                </c:pt>
                <c:pt idx="2">
                  <c:v>4.7313235631991182</c:v>
                </c:pt>
                <c:pt idx="3">
                  <c:v>4.5381375191611282</c:v>
                </c:pt>
                <c:pt idx="4">
                  <c:v>3.4269297435259092</c:v>
                </c:pt>
              </c:numCache>
            </c:numRef>
          </c:val>
          <c:smooth val="0"/>
          <c:extLst>
            <c:ext xmlns:c16="http://schemas.microsoft.com/office/drawing/2014/chart" uri="{C3380CC4-5D6E-409C-BE32-E72D297353CC}">
              <c16:uniqueId val="{00000005-84AD-4D2B-8EED-78DDF34E1D22}"/>
            </c:ext>
          </c:extLst>
        </c:ser>
        <c:dLbls>
          <c:showLegendKey val="0"/>
          <c:showVal val="0"/>
          <c:showCatName val="0"/>
          <c:showSerName val="0"/>
          <c:showPercent val="0"/>
          <c:showBubbleSize val="0"/>
        </c:dLbls>
        <c:gapDepth val="500"/>
        <c:axId val="211881424"/>
        <c:axId val="1"/>
        <c:axId val="2"/>
      </c:line3DChart>
      <c:catAx>
        <c:axId val="211881424"/>
        <c:scaling>
          <c:orientation val="minMax"/>
        </c:scaling>
        <c:delete val="0"/>
        <c:axPos val="b"/>
        <c:title>
          <c:tx>
            <c:rich>
              <a:bodyPr/>
              <a:lstStyle/>
              <a:p>
                <a:pPr>
                  <a:defRPr sz="647" b="1" i="0" u="none" strike="noStrike" baseline="0">
                    <a:solidFill>
                      <a:srgbClr val="000000"/>
                    </a:solidFill>
                    <a:latin typeface="Arial"/>
                    <a:ea typeface="Arial"/>
                    <a:cs typeface="Arial"/>
                  </a:defRPr>
                </a:pPr>
                <a:r>
                  <a:rPr lang="es-CR"/>
                  <a:t>Trimestres</a:t>
                </a:r>
              </a:p>
            </c:rich>
          </c:tx>
          <c:layout>
            <c:manualLayout>
              <c:xMode val="edge"/>
              <c:yMode val="edge"/>
              <c:x val="0.41293067025158442"/>
              <c:y val="0.92050614411834886"/>
            </c:manualLayout>
          </c:layout>
          <c:overlay val="0"/>
          <c:spPr>
            <a:noFill/>
            <a:ln w="20533">
              <a:noFill/>
            </a:ln>
          </c:spPr>
        </c:title>
        <c:numFmt formatCode="General" sourceLinked="0"/>
        <c:majorTickMark val="in"/>
        <c:minorTickMark val="none"/>
        <c:tickLblPos val="low"/>
        <c:txPr>
          <a:bodyPr rot="-3120000" vert="horz" anchor="b" anchorCtr="0"/>
          <a:lstStyle/>
          <a:p>
            <a:pPr algn="ctr">
              <a:defRPr lang="es-CR" sz="525" b="1" i="0" u="none" strike="noStrike" kern="1200" baseline="0">
                <a:solidFill>
                  <a:srgbClr val="000000"/>
                </a:solidFill>
                <a:latin typeface="Arial Baltic"/>
                <a:ea typeface="Arial Baltic"/>
                <a:cs typeface="Arial Baltic"/>
              </a:defRPr>
            </a:pPr>
            <a:endParaRPr lang="es-CR"/>
          </a:p>
        </c:txPr>
        <c:crossAx val="1"/>
        <c:crossesAt val="1.7000000000000002"/>
        <c:auto val="0"/>
        <c:lblAlgn val="ctr"/>
        <c:lblOffset val="100"/>
        <c:tickLblSkip val="1"/>
        <c:tickMarkSkip val="2"/>
        <c:noMultiLvlLbl val="1"/>
      </c:catAx>
      <c:valAx>
        <c:axId val="1"/>
        <c:scaling>
          <c:orientation val="minMax"/>
          <c:max val="4.8499999999999996"/>
          <c:min val="3.3"/>
        </c:scaling>
        <c:delete val="0"/>
        <c:axPos val="l"/>
        <c:title>
          <c:tx>
            <c:rich>
              <a:bodyPr/>
              <a:lstStyle/>
              <a:p>
                <a:pPr>
                  <a:defRPr sz="647" b="1" i="0" u="none" strike="noStrike" baseline="0">
                    <a:solidFill>
                      <a:srgbClr val="000000"/>
                    </a:solidFill>
                    <a:latin typeface="Arial"/>
                    <a:ea typeface="Arial"/>
                    <a:cs typeface="Arial"/>
                  </a:defRPr>
                </a:pPr>
                <a:r>
                  <a:rPr lang="es-CR"/>
                  <a:t>Veces</a:t>
                </a:r>
              </a:p>
            </c:rich>
          </c:tx>
          <c:layout>
            <c:manualLayout>
              <c:xMode val="edge"/>
              <c:yMode val="edge"/>
              <c:x val="9.7615176151761532E-2"/>
              <c:y val="0.36493855881651155"/>
            </c:manualLayout>
          </c:layout>
          <c:overlay val="0"/>
          <c:spPr>
            <a:noFill/>
            <a:ln w="20533">
              <a:noFill/>
            </a:ln>
          </c:spPr>
        </c:title>
        <c:numFmt formatCode="#,##0" sourceLinked="0"/>
        <c:majorTickMark val="out"/>
        <c:minorTickMark val="none"/>
        <c:tickLblPos val="nextTo"/>
        <c:spPr>
          <a:ln w="2567">
            <a:solidFill>
              <a:srgbClr val="000000"/>
            </a:solidFill>
            <a:prstDash val="solid"/>
          </a:ln>
        </c:spPr>
        <c:txPr>
          <a:bodyPr rot="0" vert="horz"/>
          <a:lstStyle/>
          <a:p>
            <a:pPr>
              <a:defRPr sz="525" b="1" i="0" u="none" strike="noStrike" baseline="0">
                <a:solidFill>
                  <a:srgbClr val="000000"/>
                </a:solidFill>
                <a:latin typeface="Arial Baltic"/>
                <a:ea typeface="Arial Baltic"/>
                <a:cs typeface="Arial Baltic"/>
              </a:defRPr>
            </a:pPr>
            <a:endParaRPr lang="es-CR"/>
          </a:p>
        </c:txPr>
        <c:crossAx val="211881424"/>
        <c:crosses val="autoZero"/>
        <c:crossBetween val="between"/>
        <c:majorUnit val="0.5"/>
        <c:minorUnit val="0.30000000000000032"/>
      </c:valAx>
      <c:serAx>
        <c:axId val="2"/>
        <c:scaling>
          <c:orientation val="minMax"/>
        </c:scaling>
        <c:delete val="1"/>
        <c:axPos val="b"/>
        <c:majorTickMark val="out"/>
        <c:minorTickMark val="none"/>
        <c:tickLblPos val="nextTo"/>
        <c:crossAx val="1"/>
        <c:crossesAt val="1.7000000000000002"/>
      </c:serAx>
      <c:spPr>
        <a:noFill/>
        <a:ln w="20533">
          <a:noFill/>
        </a:ln>
      </c:spPr>
    </c:plotArea>
    <c:plotVisOnly val="1"/>
    <c:dispBlanksAs val="gap"/>
    <c:showDLblsOverMax val="0"/>
  </c:chart>
  <c:spPr>
    <a:gradFill>
      <a:gsLst>
        <a:gs pos="12000">
          <a:srgbClr val="FFFFCC">
            <a:lumMod val="80000"/>
            <a:lumOff val="20000"/>
          </a:srgbClr>
        </a:gs>
        <a:gs pos="100000">
          <a:srgbClr val="FFFFCC">
            <a:gamma/>
            <a:shade val="93725"/>
            <a:invGamma/>
          </a:srgbClr>
        </a:gs>
      </a:gsLst>
      <a:lin ang="5400000" scaled="1"/>
    </a:gradFill>
    <a:ln w="30799">
      <a:solidFill>
        <a:srgbClr val="993300"/>
      </a:solidFill>
      <a:prstDash val="solid"/>
    </a:ln>
  </c:spPr>
  <c:txPr>
    <a:bodyPr/>
    <a:lstStyle/>
    <a:p>
      <a:pPr>
        <a:defRPr sz="404" b="0" i="0" u="none" strike="noStrike" baseline="0">
          <a:solidFill>
            <a:srgbClr val="000000"/>
          </a:solidFill>
          <a:latin typeface="Arial"/>
          <a:ea typeface="Arial"/>
          <a:cs typeface="Arial"/>
        </a:defRPr>
      </a:pPr>
      <a:endParaRPr lang="es-CR"/>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B859D0C04695254995CB2944A2B13C02" ma:contentTypeVersion="3" ma:contentTypeDescription="Crear nuevo documento." ma:contentTypeScope="" ma:versionID="662a2493bc7882f09986de5d9956f1fb">
  <xsd:schema xmlns:xsd="http://www.w3.org/2001/XMLSchema" xmlns:xs="http://www.w3.org/2001/XMLSchema" xmlns:p="http://schemas.microsoft.com/office/2006/metadata/properties" xmlns:ns2="6f391724-c0de-4085-b255-55579da8fb23" targetNamespace="http://schemas.microsoft.com/office/2006/metadata/properties" ma:root="true" ma:fieldsID="9117967820049cd8c5c7667f3ad73240" ns2:_="">
    <xsd:import namespace="6f391724-c0de-4085-b255-55579da8fb23"/>
    <xsd:element name="properties">
      <xsd:complexType>
        <xsd:sequence>
          <xsd:element name="documentManagement">
            <xsd:complexType>
              <xsd:all>
                <xsd:element ref="ns2:Descarg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391724-c0de-4085-b255-55579da8fb23" elementFormDefault="qualified">
    <xsd:import namespace="http://schemas.microsoft.com/office/2006/documentManagement/types"/>
    <xsd:import namespace="http://schemas.microsoft.com/office/infopath/2007/PartnerControls"/>
    <xsd:element name="Descarga" ma:index="9" nillable="true" ma:displayName="Descarga" ma:default="&amp;lt;a class-&amp;quot;ms-listlink ms-draggable&amp;quot; onclick-&amp;quot;return DispEx(this,event,&amp;#39;TRUE&amp;#39;,&amp;#39;FALSE&amp;#39;,&amp;#39;FALSE&amp;#39;,&amp;#39;SharePoint.OpenDocuments.3&amp;#39;,&amp;#39;1&amp;#39;1&amp;#39;1&amp;#39;1&amp;#39;1&amp;#39;1&amp;#39;1&amp;#39;1&amp;#39;,&amp;#39;SharePoint.OpenDocuments&amp;#39;,&amp;#39;&amp;#39;&amp;#39;&amp;#39;&amp;#39;&amp;#39;,&amp;#39;&amp;#39;&amp;#39;,&amp;#39;&amp;#39;1&amp;#39;,&amp;#39;0&amp;#39;,&amp;#39;0&amp;#39;,&amp;#39;0x7fffffffffff&amp;#39;)&amp;quot; href&amp;#39;&amp;quot;[%Elemento actual: URL relativa del servidor%]&amp;quot; DragId&amp;quot;&amp;quot;7&amp;quot;&amp;gt;Prueba&amp;lt;/a&amp;gt;" ma:description="" ma:internalName="Descarga">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Descarga xmlns="6f391724-c0de-4085-b255-55579da8fb23">&lt;a class="ms-listlink ms-draggable" target="_blank" href="/transparenciaInst/_layouts/download.aspx?SourceUrl=https%3a//www.aya.go.cr/transparenciaInst/datos_abiertos/presuppub/REPORTE%20ANUAL%20FINANCIERO/Informe%20Situaci%c3%b3n%20Financiera.%20Per%c3%adodo%202017-2018.docx"&gt;
&lt;img unselectable="on" alt="" src="/transparenciaInst/datos_abiertos/Activos%20del%20Sitio/descargar.png" style="top:0px;left:-320px" /&gt;&lt;/a&gt;</Descarga>
  </documentManagement>
</p:properties>
</file>

<file path=customXml/itemProps1.xml><?xml version="1.0" encoding="utf-8"?>
<ds:datastoreItem xmlns:ds="http://schemas.openxmlformats.org/officeDocument/2006/customXml" ds:itemID="{936F426A-F33C-4EF9-B3E2-0EFCAA527B3D}"/>
</file>

<file path=customXml/itemProps2.xml><?xml version="1.0" encoding="utf-8"?>
<ds:datastoreItem xmlns:ds="http://schemas.openxmlformats.org/officeDocument/2006/customXml" ds:itemID="{498B5514-896D-4CB2-877D-26314C5F0482}"/>
</file>

<file path=customXml/itemProps3.xml><?xml version="1.0" encoding="utf-8"?>
<ds:datastoreItem xmlns:ds="http://schemas.openxmlformats.org/officeDocument/2006/customXml" ds:itemID="{893DCAFD-BDD1-4AA5-BD6B-A8E3CF73C714}"/>
</file>

<file path=customXml/itemProps4.xml><?xml version="1.0" encoding="utf-8"?>
<ds:datastoreItem xmlns:ds="http://schemas.openxmlformats.org/officeDocument/2006/customXml" ds:itemID="{9A4DA06A-4D52-4F9F-9FA1-8027F1D34D6D}"/>
</file>

<file path=docProps/app.xml><?xml version="1.0" encoding="utf-8"?>
<Properties xmlns="http://schemas.openxmlformats.org/officeDocument/2006/extended-properties" xmlns:vt="http://schemas.openxmlformats.org/officeDocument/2006/docPropsVTypes">
  <Template>Normal</Template>
  <TotalTime>0</TotalTime>
  <Pages>85</Pages>
  <Words>11748</Words>
  <Characters>64615</Characters>
  <Application>Microsoft Office Word</Application>
  <DocSecurity>0</DocSecurity>
  <Lines>538</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Lilliana Navarro Castillo</dc:creator>
  <cp:keywords/>
  <dc:description/>
  <cp:lastModifiedBy>Landy Granados Salazar</cp:lastModifiedBy>
  <cp:revision>2</cp:revision>
  <cp:lastPrinted>2019-02-12T20:20:00Z</cp:lastPrinted>
  <dcterms:created xsi:type="dcterms:W3CDTF">2020-06-29T15:56:00Z</dcterms:created>
  <dcterms:modified xsi:type="dcterms:W3CDTF">2020-06-29T15:56:00Z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0x010100B859D0C04695254995CB2944A2B13C02</vt:lpwstr>
  </property>
  <property fmtid="{D5CDD505-2E9C-101B-9397-08002B2CF9AE}" pid="3" name="WorkflowChangePath">
    <vt:lpwstr>b28d7762-f06d-4298-a9f9-646105cf2105,3;</vt:lpwstr>
  </property>
</Properties>
</file>